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4891" w14:textId="49BB4833" w:rsidR="000C110A" w:rsidRDefault="00752693">
      <w:pPr>
        <w:spacing w:after="107" w:line="259" w:lineRule="auto"/>
        <w:ind w:left="0" w:right="0" w:firstLine="0"/>
        <w:jc w:val="right"/>
      </w:pPr>
      <w:r>
        <w:rPr>
          <w:noProof/>
        </w:rPr>
        <w:drawing>
          <wp:inline distT="0" distB="0" distL="0" distR="0" wp14:anchorId="1AB3BE10" wp14:editId="30CD961C">
            <wp:extent cx="838200" cy="111950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838200" cy="1119505"/>
                    </a:xfrm>
                    <a:prstGeom prst="rect">
                      <a:avLst/>
                    </a:prstGeom>
                  </pic:spPr>
                </pic:pic>
              </a:graphicData>
            </a:graphic>
          </wp:inline>
        </w:drawing>
      </w:r>
      <w:r>
        <w:rPr>
          <w:sz w:val="18"/>
        </w:rPr>
        <w:t xml:space="preserve"> </w:t>
      </w:r>
    </w:p>
    <w:tbl>
      <w:tblPr>
        <w:tblStyle w:val="TableGrid"/>
        <w:tblW w:w="0" w:type="auto"/>
        <w:tblInd w:w="130" w:type="dxa"/>
        <w:tblLayout w:type="fixed"/>
        <w:tblLook w:val="04A0" w:firstRow="1" w:lastRow="0" w:firstColumn="1" w:lastColumn="0" w:noHBand="0" w:noVBand="1"/>
      </w:tblPr>
      <w:tblGrid>
        <w:gridCol w:w="2542"/>
        <w:gridCol w:w="6305"/>
      </w:tblGrid>
      <w:tr w:rsidR="00434F1B" w:rsidRPr="00975B07" w14:paraId="5D447C8F" w14:textId="77777777" w:rsidTr="00434F1B">
        <w:tc>
          <w:tcPr>
            <w:tcW w:w="2542" w:type="dxa"/>
          </w:tcPr>
          <w:p w14:paraId="04CDBD3D" w14:textId="77777777" w:rsidR="00434F1B" w:rsidRPr="00975B07" w:rsidRDefault="00434F1B" w:rsidP="00355F99">
            <w:pPr>
              <w:rPr>
                <w:rStyle w:val="Firstpagetablebold"/>
              </w:rPr>
            </w:pPr>
            <w:r w:rsidRPr="00975B07">
              <w:rPr>
                <w:rStyle w:val="Firstpagetablebold"/>
              </w:rPr>
              <w:t>To:</w:t>
            </w:r>
          </w:p>
        </w:tc>
        <w:tc>
          <w:tcPr>
            <w:tcW w:w="6305" w:type="dxa"/>
          </w:tcPr>
          <w:p w14:paraId="63E181FC" w14:textId="77777777" w:rsidR="00434F1B" w:rsidRPr="00F95BC9" w:rsidRDefault="00434F1B" w:rsidP="00355F99">
            <w:pPr>
              <w:rPr>
                <w:rStyle w:val="Firstpagetablebold"/>
              </w:rPr>
            </w:pPr>
            <w:r>
              <w:rPr>
                <w:rStyle w:val="Firstpagetablebold"/>
              </w:rPr>
              <w:t>Cabinet</w:t>
            </w:r>
          </w:p>
        </w:tc>
      </w:tr>
      <w:tr w:rsidR="00434F1B" w:rsidRPr="00975B07" w14:paraId="0B5F0D6B" w14:textId="77777777" w:rsidTr="00434F1B">
        <w:tc>
          <w:tcPr>
            <w:tcW w:w="2542" w:type="dxa"/>
          </w:tcPr>
          <w:p w14:paraId="276B55E3" w14:textId="77777777" w:rsidR="00434F1B" w:rsidRPr="00975B07" w:rsidRDefault="00434F1B" w:rsidP="00355F99">
            <w:pPr>
              <w:rPr>
                <w:rStyle w:val="Firstpagetablebold"/>
              </w:rPr>
            </w:pPr>
            <w:r w:rsidRPr="00975B07">
              <w:rPr>
                <w:rStyle w:val="Firstpagetablebold"/>
              </w:rPr>
              <w:t>Date:</w:t>
            </w:r>
          </w:p>
        </w:tc>
        <w:tc>
          <w:tcPr>
            <w:tcW w:w="6305" w:type="dxa"/>
          </w:tcPr>
          <w:p w14:paraId="5BCABA6F" w14:textId="77777777" w:rsidR="00434F1B" w:rsidRPr="001356F1" w:rsidRDefault="00434F1B" w:rsidP="00355F99">
            <w:pPr>
              <w:rPr>
                <w:b/>
              </w:rPr>
            </w:pPr>
            <w:r>
              <w:rPr>
                <w:b/>
              </w:rPr>
              <w:t>18 October 2023</w:t>
            </w:r>
          </w:p>
        </w:tc>
      </w:tr>
      <w:tr w:rsidR="00434F1B" w:rsidRPr="00975B07" w14:paraId="55BC3064" w14:textId="77777777" w:rsidTr="00434F1B">
        <w:tc>
          <w:tcPr>
            <w:tcW w:w="2542" w:type="dxa"/>
          </w:tcPr>
          <w:p w14:paraId="58927439" w14:textId="77777777" w:rsidR="00434F1B" w:rsidRPr="00975B07" w:rsidRDefault="00434F1B" w:rsidP="00355F99">
            <w:pPr>
              <w:rPr>
                <w:rStyle w:val="Firstpagetablebold"/>
              </w:rPr>
            </w:pPr>
            <w:r w:rsidRPr="00975B07">
              <w:rPr>
                <w:rStyle w:val="Firstpagetablebold"/>
              </w:rPr>
              <w:t>Report of:</w:t>
            </w:r>
          </w:p>
        </w:tc>
        <w:tc>
          <w:tcPr>
            <w:tcW w:w="6305" w:type="dxa"/>
          </w:tcPr>
          <w:p w14:paraId="05818AF3" w14:textId="77777777" w:rsidR="00434F1B" w:rsidRPr="001356F1" w:rsidRDefault="00434F1B" w:rsidP="00355F99">
            <w:pPr>
              <w:rPr>
                <w:rStyle w:val="Firstpagetablebold"/>
              </w:rPr>
            </w:pPr>
            <w:r>
              <w:rPr>
                <w:rStyle w:val="Firstpagetablebold"/>
              </w:rPr>
              <w:t>Chief Executive</w:t>
            </w:r>
          </w:p>
        </w:tc>
      </w:tr>
      <w:tr w:rsidR="00434F1B" w:rsidRPr="00975B07" w14:paraId="08A008CE" w14:textId="77777777" w:rsidTr="00434F1B">
        <w:tc>
          <w:tcPr>
            <w:tcW w:w="2542" w:type="dxa"/>
          </w:tcPr>
          <w:p w14:paraId="2F995B4C" w14:textId="77777777" w:rsidR="00434F1B" w:rsidRPr="00975B07" w:rsidRDefault="00434F1B" w:rsidP="00355F99">
            <w:pPr>
              <w:rPr>
                <w:rStyle w:val="Firstpagetablebold"/>
              </w:rPr>
            </w:pPr>
            <w:r w:rsidRPr="00975B07">
              <w:rPr>
                <w:rStyle w:val="Firstpagetablebold"/>
              </w:rPr>
              <w:t xml:space="preserve">Title of Report: </w:t>
            </w:r>
          </w:p>
        </w:tc>
        <w:tc>
          <w:tcPr>
            <w:tcW w:w="6305" w:type="dxa"/>
          </w:tcPr>
          <w:p w14:paraId="29504CD3" w14:textId="77777777" w:rsidR="00434F1B" w:rsidRPr="001356F1" w:rsidRDefault="00434F1B" w:rsidP="00355F99">
            <w:pPr>
              <w:rPr>
                <w:rStyle w:val="Firstpagetablebold"/>
              </w:rPr>
            </w:pPr>
            <w:r>
              <w:rPr>
                <w:rStyle w:val="Firstpagetablebold"/>
              </w:rPr>
              <w:t>Corporate Peer Challenge – Local Government Association Peer Review</w:t>
            </w:r>
          </w:p>
        </w:tc>
      </w:tr>
      <w:tr w:rsidR="000C110A" w14:paraId="19A81D9C" w14:textId="77777777" w:rsidTr="00434F1B">
        <w:tblPrEx>
          <w:tblCellMar>
            <w:top w:w="3" w:type="dxa"/>
            <w:left w:w="10" w:type="dxa"/>
            <w:right w:w="104" w:type="dxa"/>
          </w:tblCellMar>
        </w:tblPrEx>
        <w:trPr>
          <w:trHeight w:val="421"/>
        </w:trPr>
        <w:tc>
          <w:tcPr>
            <w:tcW w:w="2542" w:type="dxa"/>
            <w:tcBorders>
              <w:top w:val="single" w:sz="8" w:space="0" w:color="000000"/>
              <w:left w:val="single" w:sz="8" w:space="0" w:color="000000"/>
              <w:bottom w:val="single" w:sz="8" w:space="0" w:color="000000"/>
              <w:right w:val="nil"/>
            </w:tcBorders>
          </w:tcPr>
          <w:p w14:paraId="1A6831CB" w14:textId="77777777" w:rsidR="000C110A" w:rsidRDefault="000C110A">
            <w:pPr>
              <w:spacing w:after="160" w:line="259" w:lineRule="auto"/>
              <w:ind w:left="0" w:right="0" w:firstLine="0"/>
              <w:jc w:val="left"/>
            </w:pPr>
          </w:p>
        </w:tc>
        <w:tc>
          <w:tcPr>
            <w:tcW w:w="6305" w:type="dxa"/>
            <w:tcBorders>
              <w:top w:val="single" w:sz="8" w:space="0" w:color="000000"/>
              <w:left w:val="nil"/>
              <w:bottom w:val="single" w:sz="8" w:space="0" w:color="000000"/>
              <w:right w:val="single" w:sz="8" w:space="0" w:color="000000"/>
            </w:tcBorders>
          </w:tcPr>
          <w:p w14:paraId="2A4AFBBC" w14:textId="77777777" w:rsidR="000C110A" w:rsidRDefault="00752693">
            <w:pPr>
              <w:spacing w:after="0" w:line="259" w:lineRule="auto"/>
              <w:ind w:left="11" w:right="0" w:firstLine="0"/>
              <w:jc w:val="left"/>
            </w:pPr>
            <w:r>
              <w:rPr>
                <w:b/>
              </w:rPr>
              <w:t xml:space="preserve">Summary and recommendations </w:t>
            </w:r>
          </w:p>
        </w:tc>
      </w:tr>
      <w:tr w:rsidR="000C110A" w14:paraId="24383D9E" w14:textId="77777777" w:rsidTr="00434F1B">
        <w:tblPrEx>
          <w:tblCellMar>
            <w:top w:w="3" w:type="dxa"/>
            <w:left w:w="10" w:type="dxa"/>
            <w:right w:w="104" w:type="dxa"/>
          </w:tblCellMar>
        </w:tblPrEx>
        <w:trPr>
          <w:trHeight w:val="882"/>
        </w:trPr>
        <w:tc>
          <w:tcPr>
            <w:tcW w:w="2542" w:type="dxa"/>
            <w:tcBorders>
              <w:top w:val="single" w:sz="8" w:space="0" w:color="000000"/>
              <w:left w:val="single" w:sz="8" w:space="0" w:color="000000"/>
              <w:bottom w:val="nil"/>
              <w:right w:val="nil"/>
            </w:tcBorders>
          </w:tcPr>
          <w:p w14:paraId="6184B9FE" w14:textId="77777777" w:rsidR="000C110A" w:rsidRDefault="00752693">
            <w:pPr>
              <w:spacing w:after="0" w:line="259" w:lineRule="auto"/>
              <w:ind w:left="100" w:right="0" w:firstLine="0"/>
              <w:jc w:val="left"/>
            </w:pPr>
            <w:r>
              <w:rPr>
                <w:b/>
              </w:rPr>
              <w:t xml:space="preserve">Purpose of report: </w:t>
            </w:r>
          </w:p>
        </w:tc>
        <w:tc>
          <w:tcPr>
            <w:tcW w:w="6305" w:type="dxa"/>
            <w:tcBorders>
              <w:top w:val="single" w:sz="8" w:space="0" w:color="000000"/>
              <w:left w:val="nil"/>
              <w:bottom w:val="nil"/>
              <w:right w:val="single" w:sz="8" w:space="0" w:color="000000"/>
            </w:tcBorders>
          </w:tcPr>
          <w:p w14:paraId="32F5B6DC" w14:textId="77777777" w:rsidR="000C110A" w:rsidRDefault="00752693">
            <w:pPr>
              <w:spacing w:after="0" w:line="259" w:lineRule="auto"/>
              <w:ind w:left="0" w:right="70" w:firstLine="0"/>
            </w:pPr>
            <w:r>
              <w:t>To update members on the key scope and process, recommendations from the July 2023 Peer Review Team, and to outline the future Action Plan</w:t>
            </w:r>
          </w:p>
          <w:p w14:paraId="3BE03AB0" w14:textId="74B73192" w:rsidR="00752693" w:rsidRDefault="00752693">
            <w:pPr>
              <w:spacing w:after="0" w:line="259" w:lineRule="auto"/>
              <w:ind w:left="0" w:right="70" w:firstLine="0"/>
            </w:pPr>
          </w:p>
        </w:tc>
      </w:tr>
      <w:tr w:rsidR="000C110A" w14:paraId="6027F82A" w14:textId="77777777" w:rsidTr="00434F1B">
        <w:tblPrEx>
          <w:tblCellMar>
            <w:top w:w="3" w:type="dxa"/>
            <w:left w:w="10" w:type="dxa"/>
            <w:right w:w="104" w:type="dxa"/>
          </w:tblCellMar>
        </w:tblPrEx>
        <w:trPr>
          <w:trHeight w:val="395"/>
        </w:trPr>
        <w:tc>
          <w:tcPr>
            <w:tcW w:w="2542" w:type="dxa"/>
            <w:tcBorders>
              <w:top w:val="nil"/>
              <w:left w:val="single" w:sz="8" w:space="0" w:color="000000"/>
              <w:bottom w:val="nil"/>
              <w:right w:val="nil"/>
            </w:tcBorders>
          </w:tcPr>
          <w:p w14:paraId="1CA09B69" w14:textId="77777777" w:rsidR="000C110A" w:rsidRDefault="00752693">
            <w:pPr>
              <w:spacing w:after="0" w:line="259" w:lineRule="auto"/>
              <w:ind w:left="100" w:right="0" w:firstLine="0"/>
              <w:jc w:val="left"/>
            </w:pPr>
            <w:r>
              <w:rPr>
                <w:b/>
              </w:rPr>
              <w:t xml:space="preserve">Key decision: </w:t>
            </w:r>
          </w:p>
        </w:tc>
        <w:tc>
          <w:tcPr>
            <w:tcW w:w="6305" w:type="dxa"/>
            <w:tcBorders>
              <w:top w:val="nil"/>
              <w:left w:val="nil"/>
              <w:bottom w:val="nil"/>
              <w:right w:val="single" w:sz="8" w:space="0" w:color="000000"/>
            </w:tcBorders>
          </w:tcPr>
          <w:p w14:paraId="5876C9C9" w14:textId="77777777" w:rsidR="000C110A" w:rsidRDefault="00752693">
            <w:pPr>
              <w:spacing w:after="0" w:line="259" w:lineRule="auto"/>
              <w:ind w:left="0" w:right="0" w:firstLine="0"/>
              <w:jc w:val="left"/>
            </w:pPr>
            <w:r>
              <w:t xml:space="preserve">No </w:t>
            </w:r>
          </w:p>
        </w:tc>
      </w:tr>
      <w:tr w:rsidR="000C110A" w14:paraId="06F54191" w14:textId="77777777" w:rsidTr="00434F1B">
        <w:tblPrEx>
          <w:tblCellMar>
            <w:top w:w="3" w:type="dxa"/>
            <w:left w:w="10" w:type="dxa"/>
            <w:right w:w="104" w:type="dxa"/>
          </w:tblCellMar>
        </w:tblPrEx>
        <w:trPr>
          <w:trHeight w:val="400"/>
        </w:trPr>
        <w:tc>
          <w:tcPr>
            <w:tcW w:w="2542" w:type="dxa"/>
            <w:tcBorders>
              <w:top w:val="nil"/>
              <w:left w:val="single" w:sz="8" w:space="0" w:color="000000"/>
              <w:bottom w:val="nil"/>
              <w:right w:val="nil"/>
            </w:tcBorders>
          </w:tcPr>
          <w:p w14:paraId="78683C6B" w14:textId="77777777" w:rsidR="000C110A" w:rsidRDefault="00752693">
            <w:pPr>
              <w:spacing w:after="0" w:line="259" w:lineRule="auto"/>
              <w:ind w:left="100" w:right="0" w:firstLine="0"/>
              <w:jc w:val="left"/>
            </w:pPr>
            <w:r>
              <w:rPr>
                <w:b/>
              </w:rPr>
              <w:t xml:space="preserve">Cabinet Member: </w:t>
            </w:r>
          </w:p>
        </w:tc>
        <w:tc>
          <w:tcPr>
            <w:tcW w:w="6305" w:type="dxa"/>
            <w:tcBorders>
              <w:top w:val="nil"/>
              <w:left w:val="nil"/>
              <w:bottom w:val="nil"/>
              <w:right w:val="single" w:sz="8" w:space="0" w:color="000000"/>
            </w:tcBorders>
          </w:tcPr>
          <w:p w14:paraId="51E2DAEB" w14:textId="77777777" w:rsidR="000C110A" w:rsidRDefault="00752693">
            <w:pPr>
              <w:spacing w:after="0" w:line="259" w:lineRule="auto"/>
              <w:ind w:left="0" w:right="0" w:firstLine="0"/>
              <w:jc w:val="left"/>
            </w:pPr>
            <w:r>
              <w:t xml:space="preserve">Councillor Susan Brown </w:t>
            </w:r>
          </w:p>
        </w:tc>
      </w:tr>
      <w:tr w:rsidR="000C110A" w14:paraId="3A6CD732" w14:textId="77777777" w:rsidTr="00434F1B">
        <w:tblPrEx>
          <w:tblCellMar>
            <w:top w:w="3" w:type="dxa"/>
            <w:left w:w="10" w:type="dxa"/>
            <w:right w:w="104" w:type="dxa"/>
          </w:tblCellMar>
        </w:tblPrEx>
        <w:trPr>
          <w:trHeight w:val="395"/>
        </w:trPr>
        <w:tc>
          <w:tcPr>
            <w:tcW w:w="2542" w:type="dxa"/>
            <w:tcBorders>
              <w:top w:val="nil"/>
              <w:left w:val="single" w:sz="8" w:space="0" w:color="000000"/>
              <w:bottom w:val="nil"/>
              <w:right w:val="nil"/>
            </w:tcBorders>
          </w:tcPr>
          <w:p w14:paraId="09E10323" w14:textId="77777777" w:rsidR="000C110A" w:rsidRDefault="00752693">
            <w:pPr>
              <w:spacing w:after="0" w:line="259" w:lineRule="auto"/>
              <w:ind w:left="100" w:right="0" w:firstLine="0"/>
              <w:jc w:val="left"/>
            </w:pPr>
            <w:r>
              <w:rPr>
                <w:b/>
              </w:rPr>
              <w:t xml:space="preserve">Corporate Priority: </w:t>
            </w:r>
          </w:p>
        </w:tc>
        <w:tc>
          <w:tcPr>
            <w:tcW w:w="6305" w:type="dxa"/>
            <w:tcBorders>
              <w:top w:val="nil"/>
              <w:left w:val="nil"/>
              <w:bottom w:val="nil"/>
              <w:right w:val="single" w:sz="8" w:space="0" w:color="000000"/>
            </w:tcBorders>
          </w:tcPr>
          <w:p w14:paraId="184216AE" w14:textId="77777777" w:rsidR="000C110A" w:rsidRDefault="00752693">
            <w:pPr>
              <w:spacing w:after="0" w:line="259" w:lineRule="auto"/>
              <w:ind w:left="0" w:right="0" w:firstLine="0"/>
              <w:jc w:val="left"/>
            </w:pPr>
            <w:r>
              <w:t xml:space="preserve">Well-run Council </w:t>
            </w:r>
          </w:p>
        </w:tc>
      </w:tr>
      <w:tr w:rsidR="000C110A" w14:paraId="7FA7F51E" w14:textId="77777777" w:rsidTr="00434F1B">
        <w:tblPrEx>
          <w:tblCellMar>
            <w:top w:w="3" w:type="dxa"/>
            <w:left w:w="10" w:type="dxa"/>
            <w:right w:w="104" w:type="dxa"/>
          </w:tblCellMar>
        </w:tblPrEx>
        <w:trPr>
          <w:trHeight w:val="474"/>
        </w:trPr>
        <w:tc>
          <w:tcPr>
            <w:tcW w:w="2542" w:type="dxa"/>
            <w:tcBorders>
              <w:top w:val="nil"/>
              <w:left w:val="single" w:sz="8" w:space="0" w:color="000000"/>
              <w:bottom w:val="single" w:sz="4" w:space="0" w:color="000000"/>
              <w:right w:val="nil"/>
            </w:tcBorders>
          </w:tcPr>
          <w:p w14:paraId="7C8865AA" w14:textId="77777777" w:rsidR="000C110A" w:rsidRDefault="00752693">
            <w:pPr>
              <w:spacing w:after="0" w:line="259" w:lineRule="auto"/>
              <w:ind w:left="100" w:right="0" w:firstLine="0"/>
              <w:jc w:val="left"/>
            </w:pPr>
            <w:r>
              <w:rPr>
                <w:b/>
              </w:rPr>
              <w:t xml:space="preserve">Policy Framework: </w:t>
            </w:r>
          </w:p>
        </w:tc>
        <w:tc>
          <w:tcPr>
            <w:tcW w:w="6305" w:type="dxa"/>
            <w:tcBorders>
              <w:top w:val="nil"/>
              <w:left w:val="nil"/>
              <w:bottom w:val="single" w:sz="4" w:space="0" w:color="000000"/>
              <w:right w:val="single" w:sz="8" w:space="0" w:color="000000"/>
            </w:tcBorders>
          </w:tcPr>
          <w:p w14:paraId="17B1160F" w14:textId="47A10E18" w:rsidR="000C110A" w:rsidRDefault="00752693">
            <w:pPr>
              <w:spacing w:after="0" w:line="259" w:lineRule="auto"/>
              <w:ind w:left="0" w:right="0" w:firstLine="0"/>
              <w:jc w:val="left"/>
            </w:pPr>
            <w:r>
              <w:t>Council Strategy 2020-24</w:t>
            </w:r>
          </w:p>
        </w:tc>
      </w:tr>
    </w:tbl>
    <w:p w14:paraId="69737E86" w14:textId="77777777" w:rsidR="000C110A" w:rsidRDefault="00752693">
      <w:pPr>
        <w:spacing w:after="0" w:line="259" w:lineRule="auto"/>
        <w:ind w:left="0" w:right="390" w:firstLine="0"/>
        <w:jc w:val="left"/>
      </w:pPr>
      <w:r>
        <w:t xml:space="preserve"> </w:t>
      </w:r>
    </w:p>
    <w:tbl>
      <w:tblPr>
        <w:tblStyle w:val="TableGrid"/>
        <w:tblW w:w="8847" w:type="dxa"/>
        <w:tblInd w:w="120" w:type="dxa"/>
        <w:tblCellMar>
          <w:top w:w="3" w:type="dxa"/>
          <w:left w:w="110" w:type="dxa"/>
          <w:right w:w="113" w:type="dxa"/>
        </w:tblCellMar>
        <w:tblLook w:val="04A0" w:firstRow="1" w:lastRow="0" w:firstColumn="1" w:lastColumn="0" w:noHBand="0" w:noVBand="1"/>
      </w:tblPr>
      <w:tblGrid>
        <w:gridCol w:w="424"/>
        <w:gridCol w:w="8423"/>
      </w:tblGrid>
      <w:tr w:rsidR="000C110A" w14:paraId="70BC6353" w14:textId="77777777" w:rsidTr="00752693">
        <w:trPr>
          <w:trHeight w:val="440"/>
        </w:trPr>
        <w:tc>
          <w:tcPr>
            <w:tcW w:w="8847" w:type="dxa"/>
            <w:gridSpan w:val="2"/>
            <w:tcBorders>
              <w:top w:val="single" w:sz="8" w:space="0" w:color="000000"/>
              <w:left w:val="single" w:sz="8" w:space="0" w:color="000000"/>
              <w:bottom w:val="single" w:sz="8" w:space="0" w:color="000000"/>
              <w:right w:val="single" w:sz="8" w:space="0" w:color="000000"/>
            </w:tcBorders>
          </w:tcPr>
          <w:p w14:paraId="0EC9D9FC" w14:textId="786A00C3" w:rsidR="000C110A" w:rsidRDefault="00752693">
            <w:pPr>
              <w:spacing w:after="0" w:line="259" w:lineRule="auto"/>
              <w:ind w:left="0" w:right="0" w:firstLine="0"/>
              <w:jc w:val="left"/>
            </w:pPr>
            <w:r>
              <w:rPr>
                <w:b/>
              </w:rPr>
              <w:t xml:space="preserve">Recommendations: </w:t>
            </w:r>
            <w:r>
              <w:t xml:space="preserve">That Cabinet resolves to: </w:t>
            </w:r>
          </w:p>
        </w:tc>
      </w:tr>
      <w:tr w:rsidR="000C110A" w14:paraId="17E9B6A7" w14:textId="77777777" w:rsidTr="005F6B73">
        <w:trPr>
          <w:trHeight w:val="410"/>
        </w:trPr>
        <w:tc>
          <w:tcPr>
            <w:tcW w:w="420" w:type="dxa"/>
            <w:tcBorders>
              <w:top w:val="single" w:sz="8" w:space="0" w:color="000000"/>
              <w:left w:val="single" w:sz="8" w:space="0" w:color="000000"/>
            </w:tcBorders>
          </w:tcPr>
          <w:p w14:paraId="063B4BA3" w14:textId="5A0471E2" w:rsidR="000C110A" w:rsidRDefault="00752693">
            <w:pPr>
              <w:spacing w:after="0" w:line="259" w:lineRule="auto"/>
              <w:ind w:left="0" w:right="0" w:firstLine="0"/>
              <w:jc w:val="left"/>
            </w:pPr>
            <w:r>
              <w:t>1</w:t>
            </w:r>
            <w:r w:rsidR="005F6B73">
              <w:t>.</w:t>
            </w:r>
            <w:r>
              <w:t xml:space="preserve"> </w:t>
            </w:r>
          </w:p>
        </w:tc>
        <w:tc>
          <w:tcPr>
            <w:tcW w:w="8427" w:type="dxa"/>
            <w:tcBorders>
              <w:top w:val="single" w:sz="8" w:space="0" w:color="000000"/>
              <w:left w:val="nil"/>
              <w:right w:val="single" w:sz="8" w:space="0" w:color="000000"/>
            </w:tcBorders>
          </w:tcPr>
          <w:p w14:paraId="2BD14FA8" w14:textId="25BC1337" w:rsidR="000C110A" w:rsidRDefault="00752693">
            <w:pPr>
              <w:spacing w:after="0" w:line="259" w:lineRule="auto"/>
              <w:ind w:right="0" w:firstLine="0"/>
              <w:jc w:val="left"/>
            </w:pPr>
            <w:r w:rsidRPr="00752693">
              <w:rPr>
                <w:b/>
                <w:bCs/>
              </w:rPr>
              <w:t>Note</w:t>
            </w:r>
            <w:r>
              <w:t xml:space="preserve"> the Local Government Peer Challenge Feedback report of July 2023 </w:t>
            </w:r>
          </w:p>
        </w:tc>
      </w:tr>
      <w:tr w:rsidR="000C110A" w14:paraId="7FEF9C62" w14:textId="77777777" w:rsidTr="005F6B73">
        <w:trPr>
          <w:trHeight w:val="691"/>
        </w:trPr>
        <w:tc>
          <w:tcPr>
            <w:tcW w:w="420" w:type="dxa"/>
            <w:tcBorders>
              <w:left w:val="single" w:sz="8" w:space="0" w:color="000000"/>
              <w:bottom w:val="single" w:sz="8" w:space="0" w:color="000000"/>
            </w:tcBorders>
          </w:tcPr>
          <w:p w14:paraId="7C10D73E" w14:textId="7791D067" w:rsidR="000C110A" w:rsidRDefault="00752693">
            <w:pPr>
              <w:spacing w:after="0" w:line="259" w:lineRule="auto"/>
              <w:ind w:left="0" w:right="0" w:firstLine="0"/>
              <w:jc w:val="left"/>
            </w:pPr>
            <w:r>
              <w:t>2</w:t>
            </w:r>
            <w:r w:rsidR="005F6B73">
              <w:t>.</w:t>
            </w:r>
            <w:r>
              <w:t xml:space="preserve"> </w:t>
            </w:r>
          </w:p>
        </w:tc>
        <w:tc>
          <w:tcPr>
            <w:tcW w:w="8427" w:type="dxa"/>
            <w:tcBorders>
              <w:left w:val="nil"/>
              <w:bottom w:val="single" w:sz="8" w:space="0" w:color="000000"/>
              <w:right w:val="single" w:sz="8" w:space="0" w:color="000000"/>
            </w:tcBorders>
          </w:tcPr>
          <w:p w14:paraId="2D1E56AB" w14:textId="77777777" w:rsidR="000C110A" w:rsidRDefault="00752693">
            <w:pPr>
              <w:spacing w:after="0" w:line="259" w:lineRule="auto"/>
              <w:ind w:right="0" w:firstLine="0"/>
            </w:pPr>
            <w:r w:rsidRPr="00752693">
              <w:rPr>
                <w:b/>
                <w:bCs/>
              </w:rPr>
              <w:t>Note</w:t>
            </w:r>
            <w:r>
              <w:t xml:space="preserve"> the recommendations from the Peer Review Team and that the Chief Executive has already commenced action planning to address these. </w:t>
            </w:r>
          </w:p>
        </w:tc>
      </w:tr>
    </w:tbl>
    <w:p w14:paraId="264F59A2" w14:textId="77777777" w:rsidR="000C110A" w:rsidRDefault="00752693">
      <w:pPr>
        <w:spacing w:after="103" w:line="259" w:lineRule="auto"/>
        <w:ind w:left="0" w:right="0" w:firstLine="0"/>
        <w:jc w:val="left"/>
      </w:pPr>
      <w:r>
        <w:t xml:space="preserve"> </w:t>
      </w:r>
    </w:p>
    <w:p w14:paraId="4D2E6368" w14:textId="77777777" w:rsidR="000C110A" w:rsidRDefault="00752693">
      <w:pPr>
        <w:spacing w:after="0" w:line="259" w:lineRule="auto"/>
        <w:ind w:left="0" w:right="0" w:firstLine="0"/>
        <w:jc w:val="left"/>
      </w:pPr>
      <w:r>
        <w:t xml:space="preserve"> </w:t>
      </w:r>
    </w:p>
    <w:tbl>
      <w:tblPr>
        <w:tblStyle w:val="TableGrid"/>
        <w:tblW w:w="8847" w:type="dxa"/>
        <w:tblInd w:w="120" w:type="dxa"/>
        <w:tblCellMar>
          <w:top w:w="3" w:type="dxa"/>
          <w:right w:w="40" w:type="dxa"/>
        </w:tblCellMar>
        <w:tblLook w:val="04A0" w:firstRow="1" w:lastRow="0" w:firstColumn="1" w:lastColumn="0" w:noHBand="0" w:noVBand="1"/>
      </w:tblPr>
      <w:tblGrid>
        <w:gridCol w:w="2552"/>
        <w:gridCol w:w="6295"/>
      </w:tblGrid>
      <w:tr w:rsidR="000C110A" w14:paraId="4C2E5E95" w14:textId="77777777">
        <w:trPr>
          <w:trHeight w:val="410"/>
        </w:trPr>
        <w:tc>
          <w:tcPr>
            <w:tcW w:w="2552" w:type="dxa"/>
            <w:tcBorders>
              <w:top w:val="single" w:sz="8" w:space="0" w:color="000000"/>
              <w:left w:val="single" w:sz="8" w:space="0" w:color="000000"/>
              <w:bottom w:val="single" w:sz="8" w:space="0" w:color="000000"/>
              <w:right w:val="nil"/>
            </w:tcBorders>
          </w:tcPr>
          <w:p w14:paraId="07A87888" w14:textId="77777777" w:rsidR="000C110A" w:rsidRDefault="000C110A">
            <w:pPr>
              <w:spacing w:after="160" w:line="259" w:lineRule="auto"/>
              <w:ind w:left="0" w:right="0" w:firstLine="0"/>
              <w:jc w:val="left"/>
            </w:pPr>
          </w:p>
        </w:tc>
        <w:tc>
          <w:tcPr>
            <w:tcW w:w="6295" w:type="dxa"/>
            <w:tcBorders>
              <w:top w:val="single" w:sz="8" w:space="0" w:color="000000"/>
              <w:left w:val="nil"/>
              <w:bottom w:val="single" w:sz="8" w:space="0" w:color="000000"/>
              <w:right w:val="single" w:sz="8" w:space="0" w:color="000000"/>
            </w:tcBorders>
          </w:tcPr>
          <w:p w14:paraId="6524B486" w14:textId="77777777" w:rsidR="000C110A" w:rsidRDefault="00752693">
            <w:pPr>
              <w:spacing w:after="0" w:line="259" w:lineRule="auto"/>
              <w:ind w:left="1191" w:right="0" w:firstLine="0"/>
              <w:jc w:val="left"/>
            </w:pPr>
            <w:r>
              <w:rPr>
                <w:b/>
              </w:rPr>
              <w:t>Appendices</w:t>
            </w:r>
            <w:r>
              <w:t xml:space="preserve"> </w:t>
            </w:r>
          </w:p>
        </w:tc>
      </w:tr>
      <w:tr w:rsidR="000C110A" w14:paraId="562A30D8" w14:textId="77777777">
        <w:trPr>
          <w:trHeight w:val="612"/>
        </w:trPr>
        <w:tc>
          <w:tcPr>
            <w:tcW w:w="2552" w:type="dxa"/>
            <w:tcBorders>
              <w:top w:val="single" w:sz="8" w:space="0" w:color="000000"/>
              <w:left w:val="single" w:sz="8" w:space="0" w:color="000000"/>
              <w:bottom w:val="nil"/>
              <w:right w:val="nil"/>
            </w:tcBorders>
          </w:tcPr>
          <w:p w14:paraId="29EF552B" w14:textId="77777777" w:rsidR="000C110A" w:rsidRDefault="00752693">
            <w:pPr>
              <w:spacing w:after="0" w:line="259" w:lineRule="auto"/>
              <w:ind w:left="110" w:right="0" w:firstLine="0"/>
              <w:jc w:val="left"/>
            </w:pPr>
            <w:r>
              <w:t xml:space="preserve">Appendix 1 </w:t>
            </w:r>
          </w:p>
        </w:tc>
        <w:tc>
          <w:tcPr>
            <w:tcW w:w="6295" w:type="dxa"/>
            <w:tcBorders>
              <w:top w:val="single" w:sz="8" w:space="0" w:color="000000"/>
              <w:left w:val="nil"/>
              <w:bottom w:val="nil"/>
              <w:right w:val="single" w:sz="8" w:space="0" w:color="000000"/>
            </w:tcBorders>
          </w:tcPr>
          <w:p w14:paraId="5DA320B2" w14:textId="77777777" w:rsidR="000C110A" w:rsidRDefault="00752693">
            <w:pPr>
              <w:spacing w:after="0" w:line="259" w:lineRule="auto"/>
              <w:ind w:left="0" w:right="0" w:firstLine="0"/>
            </w:pPr>
            <w:r>
              <w:t xml:space="preserve">Oxford City Council Local Government Peer Challenge Feedback report, July 2023 </w:t>
            </w:r>
          </w:p>
        </w:tc>
      </w:tr>
      <w:tr w:rsidR="000C110A" w14:paraId="028B001B" w14:textId="77777777">
        <w:trPr>
          <w:trHeight w:val="950"/>
        </w:trPr>
        <w:tc>
          <w:tcPr>
            <w:tcW w:w="2552" w:type="dxa"/>
            <w:tcBorders>
              <w:top w:val="nil"/>
              <w:left w:val="single" w:sz="8" w:space="0" w:color="000000"/>
              <w:bottom w:val="nil"/>
              <w:right w:val="nil"/>
            </w:tcBorders>
          </w:tcPr>
          <w:p w14:paraId="2BA0A2B1" w14:textId="77777777" w:rsidR="000C110A" w:rsidRDefault="00752693">
            <w:pPr>
              <w:spacing w:after="0" w:line="259" w:lineRule="auto"/>
              <w:ind w:left="110" w:right="0" w:firstLine="0"/>
              <w:jc w:val="left"/>
            </w:pPr>
            <w:r>
              <w:t xml:space="preserve">Appendix 2 </w:t>
            </w:r>
          </w:p>
        </w:tc>
        <w:tc>
          <w:tcPr>
            <w:tcW w:w="6295" w:type="dxa"/>
            <w:tcBorders>
              <w:top w:val="nil"/>
              <w:left w:val="nil"/>
              <w:bottom w:val="nil"/>
              <w:right w:val="single" w:sz="8" w:space="0" w:color="000000"/>
            </w:tcBorders>
          </w:tcPr>
          <w:p w14:paraId="4C8E1A12" w14:textId="77777777" w:rsidR="000C110A" w:rsidRDefault="00752693">
            <w:pPr>
              <w:spacing w:after="0" w:line="259" w:lineRule="auto"/>
              <w:ind w:left="0" w:right="54" w:firstLine="0"/>
            </w:pPr>
            <w:r>
              <w:t xml:space="preserve">Case Study One:  Oxford City Council’s solution to procuring electric vehicle infrastructure: The EV Dynamic Purchasing System (DPS) </w:t>
            </w:r>
          </w:p>
        </w:tc>
      </w:tr>
      <w:tr w:rsidR="000C110A" w14:paraId="7B6E4728" w14:textId="77777777">
        <w:trPr>
          <w:trHeight w:val="1309"/>
        </w:trPr>
        <w:tc>
          <w:tcPr>
            <w:tcW w:w="2552" w:type="dxa"/>
            <w:tcBorders>
              <w:top w:val="nil"/>
              <w:left w:val="single" w:sz="8" w:space="0" w:color="000000"/>
              <w:bottom w:val="single" w:sz="8" w:space="0" w:color="000000"/>
              <w:right w:val="nil"/>
            </w:tcBorders>
          </w:tcPr>
          <w:p w14:paraId="298FBDF0" w14:textId="77777777" w:rsidR="000C110A" w:rsidRDefault="00752693">
            <w:pPr>
              <w:spacing w:after="0" w:line="259" w:lineRule="auto"/>
              <w:ind w:left="110" w:right="0" w:firstLine="0"/>
              <w:jc w:val="left"/>
            </w:pPr>
            <w:r>
              <w:t xml:space="preserve">Appendix 3 </w:t>
            </w:r>
          </w:p>
        </w:tc>
        <w:tc>
          <w:tcPr>
            <w:tcW w:w="6295" w:type="dxa"/>
            <w:tcBorders>
              <w:top w:val="nil"/>
              <w:left w:val="nil"/>
              <w:bottom w:val="single" w:sz="8" w:space="0" w:color="000000"/>
              <w:right w:val="single" w:sz="8" w:space="0" w:color="000000"/>
            </w:tcBorders>
          </w:tcPr>
          <w:p w14:paraId="0A766786" w14:textId="77777777" w:rsidR="000C110A" w:rsidRDefault="00752693">
            <w:pPr>
              <w:spacing w:after="0" w:line="259" w:lineRule="auto"/>
              <w:ind w:left="0" w:right="57" w:firstLine="0"/>
            </w:pPr>
            <w:r>
              <w:t xml:space="preserve">Case Study Two: Developing the Oxford City Council’s Equality, Diversity, and Inclusion strategy: an inclusive approach to understanding complex inequalities in our communities </w:t>
            </w:r>
          </w:p>
        </w:tc>
      </w:tr>
    </w:tbl>
    <w:p w14:paraId="50ACD4AC" w14:textId="77777777" w:rsidR="000C110A" w:rsidRDefault="00752693">
      <w:pPr>
        <w:spacing w:after="93" w:line="259" w:lineRule="auto"/>
        <w:ind w:left="0" w:right="0" w:firstLine="0"/>
        <w:jc w:val="left"/>
      </w:pPr>
      <w:r>
        <w:t xml:space="preserve"> </w:t>
      </w:r>
    </w:p>
    <w:p w14:paraId="1167B02A" w14:textId="77777777" w:rsidR="000C110A" w:rsidRDefault="00752693">
      <w:pPr>
        <w:spacing w:after="102" w:line="259" w:lineRule="auto"/>
        <w:ind w:left="0" w:right="0" w:firstLine="0"/>
        <w:jc w:val="left"/>
      </w:pPr>
      <w:r>
        <w:t xml:space="preserve"> </w:t>
      </w:r>
    </w:p>
    <w:p w14:paraId="0316C943" w14:textId="11DE885D" w:rsidR="000C110A" w:rsidRDefault="000C110A" w:rsidP="00752693">
      <w:pPr>
        <w:spacing w:after="72" w:line="259" w:lineRule="auto"/>
        <w:ind w:left="0" w:right="0" w:firstLine="0"/>
        <w:jc w:val="left"/>
      </w:pPr>
    </w:p>
    <w:p w14:paraId="1C33C7C3" w14:textId="77777777" w:rsidR="000C110A" w:rsidRDefault="00752693">
      <w:pPr>
        <w:pStyle w:val="Heading1"/>
        <w:ind w:left="-5"/>
      </w:pPr>
      <w:r>
        <w:lastRenderedPageBreak/>
        <w:t xml:space="preserve">Introduction and background </w:t>
      </w:r>
    </w:p>
    <w:p w14:paraId="09835511" w14:textId="77777777" w:rsidR="000C110A" w:rsidRDefault="00752693">
      <w:pPr>
        <w:numPr>
          <w:ilvl w:val="0"/>
          <w:numId w:val="1"/>
        </w:numPr>
        <w:ind w:right="44" w:hanging="430"/>
      </w:pPr>
      <w:r>
        <w:t xml:space="preserve">The Council invited in a Local Government Association (LGA) team to conduct a review in July </w:t>
      </w:r>
      <w:proofErr w:type="gramStart"/>
      <w:r>
        <w:t>2023</w:t>
      </w:r>
      <w:proofErr w:type="gramEnd"/>
      <w:r>
        <w:t xml:space="preserve"> and this was followed by a feedback report detailing the strengths of the Council, the issues considered, and areas for further improvement and key recommendations. (Appendix 1) </w:t>
      </w:r>
    </w:p>
    <w:p w14:paraId="0E6333C3" w14:textId="77777777" w:rsidR="000C110A" w:rsidRDefault="00752693">
      <w:pPr>
        <w:numPr>
          <w:ilvl w:val="0"/>
          <w:numId w:val="1"/>
        </w:numPr>
        <w:ind w:right="44" w:hanging="430"/>
      </w:pPr>
      <w:r>
        <w:t xml:space="preserve">This was the first Peer Challenge review the Council has undertaken for eight years – with the COVID pandemic frustrating plans for an earlier review. Its purpose was to assess the work of the Council, its companies and investment portfolio, and gather an independent view from those running other councils on where the Council is doing well and where and how the Council might be able to improve. </w:t>
      </w:r>
    </w:p>
    <w:p w14:paraId="0EC5775D" w14:textId="77777777" w:rsidR="000C110A" w:rsidRDefault="00752693">
      <w:pPr>
        <w:numPr>
          <w:ilvl w:val="0"/>
          <w:numId w:val="1"/>
        </w:numPr>
        <w:ind w:right="44" w:hanging="430"/>
      </w:pPr>
      <w:r>
        <w:t xml:space="preserve">The timing of the Peer Challenge will help shape the Council’s new Corporate Strategy, 2024 to 2028, supports positive impact of priorities and will inform the Budget setting process. </w:t>
      </w:r>
    </w:p>
    <w:p w14:paraId="4880F51D" w14:textId="77777777" w:rsidR="000C110A" w:rsidRDefault="00752693">
      <w:pPr>
        <w:numPr>
          <w:ilvl w:val="0"/>
          <w:numId w:val="1"/>
        </w:numPr>
        <w:ind w:right="44" w:hanging="430"/>
      </w:pPr>
      <w:r>
        <w:t xml:space="preserve">A key background document for the Peer Challenge Review Team (“The Peer Team”) was a ‘Position Statement’ prepared by the Council. This provided a clear brief and steer on the local context and what the Peer Team should focus on. It was an opportunity to set out the key issues, </w:t>
      </w:r>
      <w:proofErr w:type="gramStart"/>
      <w:r>
        <w:t>challenges</w:t>
      </w:r>
      <w:proofErr w:type="gramEnd"/>
      <w:r>
        <w:t xml:space="preserve"> and current thinking in relation to the review, and an opportunity to undertake an honest self-assessment. </w:t>
      </w:r>
    </w:p>
    <w:p w14:paraId="16483A92" w14:textId="77777777" w:rsidR="000C110A" w:rsidRDefault="00752693">
      <w:pPr>
        <w:numPr>
          <w:ilvl w:val="0"/>
          <w:numId w:val="1"/>
        </w:numPr>
        <w:spacing w:after="145"/>
        <w:ind w:right="44" w:hanging="430"/>
      </w:pPr>
      <w:r>
        <w:t xml:space="preserve">Two examples of good practice were prepared, which the Council felt will be of help to the local government sector (Appendix 2 and Appendix 3). These are to be published on the LGA website. </w:t>
      </w:r>
    </w:p>
    <w:p w14:paraId="6BFBAF21" w14:textId="77777777" w:rsidR="000C110A" w:rsidRDefault="00752693">
      <w:pPr>
        <w:numPr>
          <w:ilvl w:val="0"/>
          <w:numId w:val="1"/>
        </w:numPr>
        <w:ind w:right="44" w:hanging="430"/>
      </w:pPr>
      <w:r>
        <w:t xml:space="preserve">The review recognised the Council’s commitment and success in </w:t>
      </w:r>
      <w:proofErr w:type="gramStart"/>
      <w:r>
        <w:t>a number of</w:t>
      </w:r>
      <w:proofErr w:type="gramEnd"/>
      <w:r>
        <w:t xml:space="preserve"> areas and was a positive report overall (see pages 3-4). There were ten recommendations for improvement (pages 4-6), most around structures, focus and process but one around IT infrastructure has potential budgetary implications. </w:t>
      </w:r>
    </w:p>
    <w:p w14:paraId="317A78C1" w14:textId="77777777" w:rsidR="000C110A" w:rsidRDefault="00752693">
      <w:pPr>
        <w:spacing w:after="92" w:line="259" w:lineRule="auto"/>
        <w:ind w:left="430" w:right="0" w:firstLine="0"/>
        <w:jc w:val="left"/>
      </w:pPr>
      <w:r>
        <w:t xml:space="preserve"> </w:t>
      </w:r>
    </w:p>
    <w:p w14:paraId="42775004" w14:textId="77777777" w:rsidR="000C110A" w:rsidRDefault="00752693">
      <w:pPr>
        <w:pStyle w:val="Heading2"/>
        <w:spacing w:after="104"/>
        <w:ind w:left="-5"/>
      </w:pPr>
      <w:r>
        <w:rPr>
          <w:i w:val="0"/>
          <w:u w:val="single" w:color="000000"/>
        </w:rPr>
        <w:t>Scope and Focus of the Peer Challenge</w:t>
      </w:r>
      <w:r>
        <w:rPr>
          <w:i w:val="0"/>
        </w:rPr>
        <w:t xml:space="preserve"> </w:t>
      </w:r>
    </w:p>
    <w:p w14:paraId="7645835D" w14:textId="77777777" w:rsidR="000C110A" w:rsidRDefault="00752693">
      <w:pPr>
        <w:numPr>
          <w:ilvl w:val="0"/>
          <w:numId w:val="2"/>
        </w:numPr>
        <w:spacing w:after="148"/>
        <w:ind w:right="44" w:hanging="430"/>
      </w:pPr>
      <w:r>
        <w:t xml:space="preserve">The LGA’s Peer Challenge process is a robust and rigorous assurance and improvement tool managed by the sector, for the sector. </w:t>
      </w:r>
    </w:p>
    <w:p w14:paraId="63CD85C9" w14:textId="77777777" w:rsidR="000C110A" w:rsidRDefault="00752693">
      <w:pPr>
        <w:numPr>
          <w:ilvl w:val="0"/>
          <w:numId w:val="2"/>
        </w:numPr>
        <w:ind w:right="44" w:hanging="430"/>
      </w:pPr>
      <w:r>
        <w:t xml:space="preserve">It complements and adds value to the Council’s own performance and improvement focus. </w:t>
      </w:r>
    </w:p>
    <w:p w14:paraId="5E926BB9" w14:textId="77777777" w:rsidR="000C110A" w:rsidRDefault="00752693">
      <w:pPr>
        <w:numPr>
          <w:ilvl w:val="0"/>
          <w:numId w:val="2"/>
        </w:numPr>
        <w:spacing w:after="135"/>
        <w:ind w:right="44" w:hanging="430"/>
      </w:pPr>
      <w:r>
        <w:t xml:space="preserve">Five core components are reviewed as standard in all LGA Peer Challenges: </w:t>
      </w:r>
    </w:p>
    <w:p w14:paraId="323B9424" w14:textId="77777777" w:rsidR="000C110A" w:rsidRDefault="00752693">
      <w:pPr>
        <w:numPr>
          <w:ilvl w:val="1"/>
          <w:numId w:val="2"/>
        </w:numPr>
        <w:spacing w:after="81"/>
        <w:ind w:right="44" w:hanging="360"/>
      </w:pPr>
      <w:r>
        <w:t xml:space="preserve">Local priorities and outcomes. </w:t>
      </w:r>
    </w:p>
    <w:p w14:paraId="32AEED30" w14:textId="77777777" w:rsidR="000C110A" w:rsidRDefault="00752693">
      <w:pPr>
        <w:numPr>
          <w:ilvl w:val="1"/>
          <w:numId w:val="2"/>
        </w:numPr>
        <w:spacing w:after="81"/>
        <w:ind w:right="44" w:hanging="360"/>
      </w:pPr>
      <w:r>
        <w:t xml:space="preserve">Organisational and place leadership. </w:t>
      </w:r>
    </w:p>
    <w:p w14:paraId="7BCE288B" w14:textId="77777777" w:rsidR="000C110A" w:rsidRDefault="00752693">
      <w:pPr>
        <w:numPr>
          <w:ilvl w:val="1"/>
          <w:numId w:val="2"/>
        </w:numPr>
        <w:spacing w:after="91"/>
        <w:ind w:right="44" w:hanging="360"/>
      </w:pPr>
      <w:r>
        <w:t xml:space="preserve">Governance and culture. </w:t>
      </w:r>
    </w:p>
    <w:p w14:paraId="2EF66218" w14:textId="77777777" w:rsidR="000C110A" w:rsidRDefault="00752693">
      <w:pPr>
        <w:numPr>
          <w:ilvl w:val="1"/>
          <w:numId w:val="2"/>
        </w:numPr>
        <w:spacing w:after="81"/>
        <w:ind w:right="44" w:hanging="360"/>
      </w:pPr>
      <w:r>
        <w:t xml:space="preserve">Financial planning and management. </w:t>
      </w:r>
    </w:p>
    <w:p w14:paraId="3D1E0777" w14:textId="77777777" w:rsidR="000C110A" w:rsidRDefault="00752693">
      <w:pPr>
        <w:numPr>
          <w:ilvl w:val="1"/>
          <w:numId w:val="2"/>
        </w:numPr>
        <w:spacing w:after="86"/>
        <w:ind w:right="44" w:hanging="360"/>
      </w:pPr>
      <w:r>
        <w:t xml:space="preserve">Capacity for improvement. </w:t>
      </w:r>
    </w:p>
    <w:p w14:paraId="4411246A" w14:textId="77777777" w:rsidR="000C110A" w:rsidRDefault="00752693">
      <w:pPr>
        <w:numPr>
          <w:ilvl w:val="0"/>
          <w:numId w:val="2"/>
        </w:numPr>
        <w:spacing w:after="135"/>
        <w:ind w:right="44" w:hanging="430"/>
      </w:pPr>
      <w:r>
        <w:t xml:space="preserve">At request of the Council, the Peer Challenge also considered the Council’s: </w:t>
      </w:r>
    </w:p>
    <w:p w14:paraId="60AEDB96" w14:textId="77777777" w:rsidR="000C110A" w:rsidRDefault="00752693">
      <w:pPr>
        <w:numPr>
          <w:ilvl w:val="1"/>
          <w:numId w:val="2"/>
        </w:numPr>
        <w:spacing w:after="81"/>
        <w:ind w:right="44" w:hanging="360"/>
      </w:pPr>
      <w:r>
        <w:t xml:space="preserve">Companies and investment portfolio. </w:t>
      </w:r>
    </w:p>
    <w:p w14:paraId="2F2AE49B" w14:textId="77777777" w:rsidR="000C110A" w:rsidRDefault="00752693">
      <w:pPr>
        <w:numPr>
          <w:ilvl w:val="1"/>
          <w:numId w:val="2"/>
        </w:numPr>
        <w:spacing w:after="59"/>
        <w:ind w:right="44" w:hanging="360"/>
      </w:pPr>
      <w:r>
        <w:t xml:space="preserve">Fit for the Future change programme. </w:t>
      </w:r>
    </w:p>
    <w:p w14:paraId="1B90E35B" w14:textId="77777777" w:rsidR="000C110A" w:rsidRDefault="00752693">
      <w:pPr>
        <w:spacing w:after="0" w:line="259" w:lineRule="auto"/>
        <w:ind w:left="0" w:right="0" w:firstLine="0"/>
        <w:jc w:val="left"/>
      </w:pPr>
      <w:r>
        <w:t xml:space="preserve"> </w:t>
      </w:r>
    </w:p>
    <w:p w14:paraId="206ED3C1" w14:textId="77777777" w:rsidR="000C110A" w:rsidRDefault="00752693">
      <w:pPr>
        <w:pStyle w:val="Heading2"/>
        <w:spacing w:after="104"/>
        <w:ind w:left="-5"/>
      </w:pPr>
      <w:r>
        <w:rPr>
          <w:i w:val="0"/>
          <w:u w:val="single" w:color="000000"/>
        </w:rPr>
        <w:lastRenderedPageBreak/>
        <w:t>The Peer Challenge Review Process</w:t>
      </w:r>
      <w:r>
        <w:rPr>
          <w:i w:val="0"/>
        </w:rPr>
        <w:t xml:space="preserve"> </w:t>
      </w:r>
    </w:p>
    <w:p w14:paraId="56BE67B5" w14:textId="77777777" w:rsidR="000C110A" w:rsidRDefault="00752693">
      <w:pPr>
        <w:numPr>
          <w:ilvl w:val="0"/>
          <w:numId w:val="3"/>
        </w:numPr>
        <w:ind w:right="44" w:hanging="430"/>
      </w:pPr>
      <w:r>
        <w:t xml:space="preserve">Peer Challenge reviews are improvement-focused and tailored to meet individual councils’ needs. They are designed to complement and add value to a council’s own performance and improvement focus. </w:t>
      </w:r>
    </w:p>
    <w:p w14:paraId="619D675D" w14:textId="77777777" w:rsidR="000C110A" w:rsidRDefault="00752693">
      <w:pPr>
        <w:numPr>
          <w:ilvl w:val="0"/>
          <w:numId w:val="3"/>
        </w:numPr>
        <w:ind w:right="44" w:hanging="430"/>
      </w:pPr>
      <w:r>
        <w:t xml:space="preserve">The Peer Team used their experience and knowledge of local government to reflect on what they find and provide feedback as critical friends, not as assessors, </w:t>
      </w:r>
      <w:proofErr w:type="gramStart"/>
      <w:r>
        <w:t>consultants</w:t>
      </w:r>
      <w:proofErr w:type="gramEnd"/>
      <w:r>
        <w:t xml:space="preserve"> or inspectors. </w:t>
      </w:r>
    </w:p>
    <w:p w14:paraId="6E93481A" w14:textId="77777777" w:rsidR="000C110A" w:rsidRDefault="00752693">
      <w:pPr>
        <w:numPr>
          <w:ilvl w:val="0"/>
          <w:numId w:val="3"/>
        </w:numPr>
        <w:spacing w:after="135"/>
        <w:ind w:right="44" w:hanging="430"/>
      </w:pPr>
      <w:r>
        <w:t xml:space="preserve">The Peer Team was made up of the: </w:t>
      </w:r>
    </w:p>
    <w:p w14:paraId="23420E2D" w14:textId="77777777" w:rsidR="000C110A" w:rsidRDefault="00752693">
      <w:pPr>
        <w:numPr>
          <w:ilvl w:val="1"/>
          <w:numId w:val="3"/>
        </w:numPr>
        <w:spacing w:after="81"/>
        <w:ind w:right="44" w:hanging="360"/>
      </w:pPr>
      <w:r>
        <w:t xml:space="preserve">Chief Executive, Lancaster City Council </w:t>
      </w:r>
    </w:p>
    <w:p w14:paraId="38268A39" w14:textId="77777777" w:rsidR="000C110A" w:rsidRDefault="00752693">
      <w:pPr>
        <w:numPr>
          <w:ilvl w:val="1"/>
          <w:numId w:val="3"/>
        </w:numPr>
        <w:spacing w:after="80"/>
        <w:ind w:right="44" w:hanging="360"/>
      </w:pPr>
      <w:r>
        <w:t xml:space="preserve">Former Leader, Norwich City Council </w:t>
      </w:r>
    </w:p>
    <w:p w14:paraId="39917730" w14:textId="77777777" w:rsidR="000C110A" w:rsidRDefault="00752693">
      <w:pPr>
        <w:numPr>
          <w:ilvl w:val="1"/>
          <w:numId w:val="3"/>
        </w:numPr>
        <w:spacing w:after="81"/>
        <w:ind w:right="44" w:hanging="360"/>
      </w:pPr>
      <w:r>
        <w:t xml:space="preserve">Leader, </w:t>
      </w:r>
      <w:proofErr w:type="gramStart"/>
      <w:r>
        <w:t>Hinckley</w:t>
      </w:r>
      <w:proofErr w:type="gramEnd"/>
      <w:r>
        <w:t xml:space="preserve"> and Bosworth Borough Council </w:t>
      </w:r>
    </w:p>
    <w:p w14:paraId="1C96350C" w14:textId="77777777" w:rsidR="000C110A" w:rsidRDefault="00752693">
      <w:pPr>
        <w:numPr>
          <w:ilvl w:val="1"/>
          <w:numId w:val="3"/>
        </w:numPr>
        <w:spacing w:after="80"/>
        <w:ind w:right="44" w:hanging="360"/>
      </w:pPr>
      <w:r>
        <w:t xml:space="preserve">Director of Financial Services, London Borough of Hounslow </w:t>
      </w:r>
    </w:p>
    <w:p w14:paraId="497DC136" w14:textId="77777777" w:rsidR="000C110A" w:rsidRDefault="00752693">
      <w:pPr>
        <w:numPr>
          <w:ilvl w:val="1"/>
          <w:numId w:val="3"/>
        </w:numPr>
        <w:spacing w:after="91"/>
        <w:ind w:right="44" w:hanging="360"/>
      </w:pPr>
      <w:r>
        <w:t xml:space="preserve">Chief Operating Officer and S151 Officer, Cornwall County Council </w:t>
      </w:r>
    </w:p>
    <w:p w14:paraId="786A02C4" w14:textId="77777777" w:rsidR="000C110A" w:rsidRDefault="00752693">
      <w:pPr>
        <w:numPr>
          <w:ilvl w:val="1"/>
          <w:numId w:val="3"/>
        </w:numPr>
        <w:ind w:right="44" w:hanging="360"/>
      </w:pPr>
      <w:r>
        <w:t xml:space="preserve">Director of Strategy, Insight and Governance, Maidstone Borough Council. </w:t>
      </w:r>
    </w:p>
    <w:p w14:paraId="15F9045A" w14:textId="77777777" w:rsidR="000C110A" w:rsidRDefault="00752693">
      <w:pPr>
        <w:numPr>
          <w:ilvl w:val="0"/>
          <w:numId w:val="3"/>
        </w:numPr>
        <w:spacing w:after="227"/>
        <w:ind w:right="44" w:hanging="430"/>
      </w:pPr>
      <w:r>
        <w:t xml:space="preserve">The Peer Team familiarised themselves with the Council’s challenges and </w:t>
      </w:r>
      <w:proofErr w:type="gramStart"/>
      <w:r>
        <w:t>plans for the future</w:t>
      </w:r>
      <w:proofErr w:type="gramEnd"/>
      <w:r>
        <w:t xml:space="preserve">, held more than 65 meetings with individuals or groups of stakeholders to gather information, in addition to further research, and held interviews with more than 130 people including a range of Council staff, members and external stakeholders. The Council’s senior officers and Members did not sit in on meetings with other stakeholders. </w:t>
      </w:r>
    </w:p>
    <w:p w14:paraId="0D28C0F2" w14:textId="77777777" w:rsidR="000C110A" w:rsidRDefault="00752693">
      <w:pPr>
        <w:pStyle w:val="Heading1"/>
        <w:ind w:left="-5"/>
      </w:pPr>
      <w:r>
        <w:t xml:space="preserve">Summary of Feedback </w:t>
      </w:r>
    </w:p>
    <w:p w14:paraId="6F7ECBFE" w14:textId="77777777" w:rsidR="000C110A" w:rsidRDefault="00752693">
      <w:pPr>
        <w:pStyle w:val="Heading2"/>
        <w:spacing w:after="104"/>
        <w:ind w:left="-5"/>
      </w:pPr>
      <w:r>
        <w:rPr>
          <w:i w:val="0"/>
          <w:u w:val="single" w:color="000000"/>
        </w:rPr>
        <w:t>Overall observations</w:t>
      </w:r>
      <w:r>
        <w:rPr>
          <w:i w:val="0"/>
        </w:rPr>
        <w:t xml:space="preserve">  </w:t>
      </w:r>
    </w:p>
    <w:p w14:paraId="6E64C56F" w14:textId="77777777" w:rsidR="000C110A" w:rsidRDefault="00752693">
      <w:pPr>
        <w:numPr>
          <w:ilvl w:val="0"/>
          <w:numId w:val="4"/>
        </w:numPr>
        <w:ind w:right="44" w:hanging="430"/>
      </w:pPr>
      <w:r>
        <w:t xml:space="preserve">The Council has ambitious plans and a successful record of delivery and core political </w:t>
      </w:r>
      <w:proofErr w:type="gramStart"/>
      <w:r>
        <w:t>message</w:t>
      </w:r>
      <w:proofErr w:type="gramEnd"/>
      <w:r>
        <w:t xml:space="preserve"> and priorities are well understood. </w:t>
      </w:r>
    </w:p>
    <w:p w14:paraId="2AF71E66" w14:textId="77777777" w:rsidR="000C110A" w:rsidRDefault="00752693">
      <w:pPr>
        <w:numPr>
          <w:ilvl w:val="0"/>
          <w:numId w:val="4"/>
        </w:numPr>
        <w:ind w:right="44" w:hanging="430"/>
      </w:pPr>
      <w:r>
        <w:t xml:space="preserve">The Peer Team commended the calibre, </w:t>
      </w:r>
      <w:proofErr w:type="gramStart"/>
      <w:r>
        <w:t>engagement</w:t>
      </w:r>
      <w:proofErr w:type="gramEnd"/>
      <w:r>
        <w:t xml:space="preserve"> and enthusiasm of staff across the organisation. </w:t>
      </w:r>
    </w:p>
    <w:p w14:paraId="6555F842" w14:textId="77777777" w:rsidR="000C110A" w:rsidRDefault="00752693">
      <w:pPr>
        <w:numPr>
          <w:ilvl w:val="0"/>
          <w:numId w:val="4"/>
        </w:numPr>
        <w:ind w:right="44" w:hanging="430"/>
      </w:pPr>
      <w:r>
        <w:t xml:space="preserve">The Council is a good employer, staff wellbeing is prioritised – officers enjoy working at Oxford City Council.  </w:t>
      </w:r>
    </w:p>
    <w:p w14:paraId="2E21E793" w14:textId="77777777" w:rsidR="000C110A" w:rsidRDefault="00752693">
      <w:pPr>
        <w:numPr>
          <w:ilvl w:val="0"/>
          <w:numId w:val="4"/>
        </w:numPr>
        <w:ind w:right="44" w:hanging="430"/>
      </w:pPr>
      <w:r>
        <w:t xml:space="preserve">Capability of members and officers is widely held in high esteem both internally and externally, people trust in the leadership. </w:t>
      </w:r>
    </w:p>
    <w:p w14:paraId="65BDC5F2" w14:textId="77777777" w:rsidR="000C110A" w:rsidRDefault="00752693">
      <w:pPr>
        <w:numPr>
          <w:ilvl w:val="0"/>
          <w:numId w:val="4"/>
        </w:numPr>
        <w:ind w:right="44" w:hanging="430"/>
      </w:pPr>
      <w:r>
        <w:t xml:space="preserve">There are positive relations between members and officers based on mutual trust and understanding of their respective roles. </w:t>
      </w:r>
    </w:p>
    <w:p w14:paraId="3C5FC30F" w14:textId="77777777" w:rsidR="000C110A" w:rsidRDefault="00752693">
      <w:pPr>
        <w:numPr>
          <w:ilvl w:val="0"/>
          <w:numId w:val="4"/>
        </w:numPr>
        <w:ind w:right="44" w:hanging="430"/>
      </w:pPr>
      <w:r>
        <w:t xml:space="preserve">Management of the Council is good and can be trusted. It leads for its communities and effectively delivers services and is respected for its convening role in collaboration and place shaping. </w:t>
      </w:r>
    </w:p>
    <w:p w14:paraId="40CAF0BD" w14:textId="77777777" w:rsidR="000C110A" w:rsidRDefault="00752693">
      <w:pPr>
        <w:numPr>
          <w:ilvl w:val="0"/>
          <w:numId w:val="4"/>
        </w:numPr>
        <w:spacing w:after="126" w:line="244" w:lineRule="auto"/>
        <w:ind w:right="44" w:hanging="430"/>
      </w:pPr>
      <w:r>
        <w:t xml:space="preserve">The Council is sector leading in HMO licensing and a selective licensing scheme for the whole private rented sector, and the work on Net Zero is ahead of the curve. </w:t>
      </w:r>
    </w:p>
    <w:p w14:paraId="448257C7" w14:textId="77777777" w:rsidR="000C110A" w:rsidRDefault="00752693">
      <w:pPr>
        <w:numPr>
          <w:ilvl w:val="0"/>
          <w:numId w:val="4"/>
        </w:numPr>
        <w:ind w:right="44" w:hanging="430"/>
      </w:pPr>
      <w:r>
        <w:t xml:space="preserve">IT infrastructure - this is even more important given the Council’s focus on remote and hybrid working. </w:t>
      </w:r>
    </w:p>
    <w:p w14:paraId="576E5451" w14:textId="77777777" w:rsidR="000C110A" w:rsidRDefault="00752693">
      <w:pPr>
        <w:spacing w:after="0" w:line="259" w:lineRule="auto"/>
        <w:ind w:left="0" w:right="0" w:firstLine="0"/>
        <w:jc w:val="left"/>
      </w:pPr>
      <w:r>
        <w:t xml:space="preserve"> </w:t>
      </w:r>
    </w:p>
    <w:p w14:paraId="3EA59E43" w14:textId="77777777" w:rsidR="000C110A" w:rsidRDefault="00752693">
      <w:pPr>
        <w:pStyle w:val="Heading1"/>
        <w:ind w:left="-5"/>
      </w:pPr>
      <w:r>
        <w:lastRenderedPageBreak/>
        <w:t xml:space="preserve">Findings </w:t>
      </w:r>
    </w:p>
    <w:p w14:paraId="72B54D53" w14:textId="77777777" w:rsidR="000C110A" w:rsidRDefault="00752693">
      <w:pPr>
        <w:pStyle w:val="Heading2"/>
        <w:ind w:left="-5"/>
      </w:pPr>
      <w:r>
        <w:rPr>
          <w:i w:val="0"/>
        </w:rPr>
        <w:t xml:space="preserve">23. </w:t>
      </w:r>
      <w:r>
        <w:t xml:space="preserve">Local priorities and outcomes </w:t>
      </w:r>
    </w:p>
    <w:p w14:paraId="306452F4" w14:textId="77777777" w:rsidR="000C110A" w:rsidRDefault="00752693">
      <w:pPr>
        <w:numPr>
          <w:ilvl w:val="0"/>
          <w:numId w:val="5"/>
        </w:numPr>
        <w:ind w:right="44" w:hanging="360"/>
      </w:pPr>
      <w:r>
        <w:t xml:space="preserve">Core political messages and priorities are well understood - they are lived and breathed in the organisation and beyond. </w:t>
      </w:r>
    </w:p>
    <w:p w14:paraId="13CF2067" w14:textId="77777777" w:rsidR="000C110A" w:rsidRDefault="00752693">
      <w:pPr>
        <w:numPr>
          <w:ilvl w:val="0"/>
          <w:numId w:val="5"/>
        </w:numPr>
        <w:ind w:right="44" w:hanging="360"/>
      </w:pPr>
      <w:r>
        <w:t xml:space="preserve">There is strong and evidence commitment to tackling inequality and its causes are apparent, with a wide range of strategies to tackle inequalities. </w:t>
      </w:r>
    </w:p>
    <w:p w14:paraId="0C1AC705" w14:textId="77777777" w:rsidR="000C110A" w:rsidRDefault="00752693">
      <w:pPr>
        <w:numPr>
          <w:ilvl w:val="0"/>
          <w:numId w:val="5"/>
        </w:numPr>
        <w:ind w:right="44" w:hanging="360"/>
      </w:pPr>
      <w:r>
        <w:t xml:space="preserve">There are impressive examples of housing delivery. </w:t>
      </w:r>
    </w:p>
    <w:p w14:paraId="7A51B5BF" w14:textId="77777777" w:rsidR="000C110A" w:rsidRDefault="00752693">
      <w:pPr>
        <w:spacing w:after="102" w:line="259" w:lineRule="auto"/>
        <w:ind w:left="0" w:right="0" w:firstLine="0"/>
        <w:jc w:val="left"/>
      </w:pPr>
      <w:r>
        <w:t xml:space="preserve"> </w:t>
      </w:r>
    </w:p>
    <w:p w14:paraId="2BB663AA" w14:textId="77777777" w:rsidR="000C110A" w:rsidRDefault="00752693">
      <w:pPr>
        <w:pStyle w:val="Heading2"/>
        <w:ind w:left="-5"/>
      </w:pPr>
      <w:r>
        <w:rPr>
          <w:i w:val="0"/>
        </w:rPr>
        <w:t xml:space="preserve">24. </w:t>
      </w:r>
      <w:r>
        <w:t xml:space="preserve">Place Leadership </w:t>
      </w:r>
    </w:p>
    <w:p w14:paraId="0F1A2D3A" w14:textId="77777777" w:rsidR="000C110A" w:rsidRDefault="00752693">
      <w:pPr>
        <w:ind w:left="440" w:right="44"/>
      </w:pPr>
      <w:r>
        <w:t xml:space="preserve">The Council </w:t>
      </w:r>
      <w:proofErr w:type="gramStart"/>
      <w:r>
        <w:t>is;</w:t>
      </w:r>
      <w:proofErr w:type="gramEnd"/>
      <w:r>
        <w:t xml:space="preserve"> </w:t>
      </w:r>
    </w:p>
    <w:p w14:paraId="7A45D3F2" w14:textId="77777777" w:rsidR="000C110A" w:rsidRDefault="00752693">
      <w:pPr>
        <w:numPr>
          <w:ilvl w:val="0"/>
          <w:numId w:val="6"/>
        </w:numPr>
        <w:ind w:left="710" w:right="44" w:hanging="280"/>
      </w:pPr>
      <w:r>
        <w:t xml:space="preserve">A trusted and valued partner and partnership working runs through everything done. </w:t>
      </w:r>
    </w:p>
    <w:p w14:paraId="63E0EEDC" w14:textId="77777777" w:rsidR="000C110A" w:rsidRDefault="00752693">
      <w:pPr>
        <w:numPr>
          <w:ilvl w:val="0"/>
          <w:numId w:val="6"/>
        </w:numPr>
        <w:ind w:left="710" w:right="44" w:hanging="280"/>
      </w:pPr>
      <w:r>
        <w:t xml:space="preserve">A place leader on a cross regional basis, working effectively with partners to unlock growth and importantly tackle infrastructure challenges. </w:t>
      </w:r>
    </w:p>
    <w:p w14:paraId="4738692E" w14:textId="77777777" w:rsidR="000C110A" w:rsidRDefault="00752693">
      <w:pPr>
        <w:ind w:left="440" w:right="44"/>
      </w:pPr>
      <w:r>
        <w:t xml:space="preserve">And, </w:t>
      </w:r>
    </w:p>
    <w:p w14:paraId="5A27DBD5" w14:textId="77777777" w:rsidR="000C110A" w:rsidRDefault="00752693">
      <w:pPr>
        <w:numPr>
          <w:ilvl w:val="0"/>
          <w:numId w:val="6"/>
        </w:numPr>
        <w:ind w:left="710" w:right="44" w:hanging="280"/>
      </w:pPr>
      <w:r>
        <w:t xml:space="preserve">Has strong working relationships with voluntary sector partners. </w:t>
      </w:r>
    </w:p>
    <w:p w14:paraId="46295737" w14:textId="77777777" w:rsidR="000C110A" w:rsidRDefault="00752693">
      <w:pPr>
        <w:spacing w:after="102" w:line="259" w:lineRule="auto"/>
        <w:ind w:left="711" w:right="0" w:firstLine="0"/>
        <w:jc w:val="left"/>
      </w:pPr>
      <w:r>
        <w:t xml:space="preserve"> </w:t>
      </w:r>
    </w:p>
    <w:p w14:paraId="3B03B4D8" w14:textId="77777777" w:rsidR="000C110A" w:rsidRDefault="00752693">
      <w:pPr>
        <w:pStyle w:val="Heading2"/>
        <w:ind w:left="-5"/>
      </w:pPr>
      <w:r>
        <w:rPr>
          <w:i w:val="0"/>
        </w:rPr>
        <w:t xml:space="preserve">25. </w:t>
      </w:r>
      <w:r>
        <w:t xml:space="preserve">Organisational leadership </w:t>
      </w:r>
    </w:p>
    <w:p w14:paraId="183D9079" w14:textId="77777777" w:rsidR="000C110A" w:rsidRDefault="00752693">
      <w:pPr>
        <w:numPr>
          <w:ilvl w:val="0"/>
          <w:numId w:val="7"/>
        </w:numPr>
        <w:ind w:right="44" w:hanging="360"/>
      </w:pPr>
      <w:r>
        <w:t xml:space="preserve">There is strong and effective leadership from the Leader and the Chief Executive, with committed, talented and passionate officers and members. The Chief Executive is visible and committed to communicating with all staff. </w:t>
      </w:r>
    </w:p>
    <w:p w14:paraId="0CDC28CF" w14:textId="77777777" w:rsidR="000C110A" w:rsidRDefault="00752693">
      <w:pPr>
        <w:numPr>
          <w:ilvl w:val="0"/>
          <w:numId w:val="7"/>
        </w:numPr>
        <w:ind w:right="44" w:hanging="360"/>
      </w:pPr>
      <w:r>
        <w:t xml:space="preserve">The Leader and Chief Executive are respected by partners and across the political spectrum and have a clear set of priorities, effectively balancing internal and external facing roles. </w:t>
      </w:r>
    </w:p>
    <w:p w14:paraId="75163F2C" w14:textId="77777777" w:rsidR="000C110A" w:rsidRDefault="00752693">
      <w:pPr>
        <w:numPr>
          <w:ilvl w:val="0"/>
          <w:numId w:val="7"/>
        </w:numPr>
        <w:spacing w:after="150"/>
        <w:ind w:right="44" w:hanging="360"/>
      </w:pPr>
      <w:r>
        <w:t xml:space="preserve">The Corporate Management Team operate openly and effectively with appropriate levels of challenge and influence collectively and individually. Senior managers are respected both internally and </w:t>
      </w:r>
      <w:proofErr w:type="gramStart"/>
      <w:r>
        <w:t>externally</w:t>
      </w:r>
      <w:proofErr w:type="gramEnd"/>
      <w:r>
        <w:t xml:space="preserve"> </w:t>
      </w:r>
    </w:p>
    <w:p w14:paraId="7182811A" w14:textId="77777777" w:rsidR="000C110A" w:rsidRDefault="00752693">
      <w:pPr>
        <w:numPr>
          <w:ilvl w:val="0"/>
          <w:numId w:val="7"/>
        </w:numPr>
        <w:ind w:right="44" w:hanging="360"/>
      </w:pPr>
      <w:r>
        <w:t xml:space="preserve">There are commendable efforts to be “a campaigning organisation”. </w:t>
      </w:r>
    </w:p>
    <w:p w14:paraId="369FC80B" w14:textId="77777777" w:rsidR="000C110A" w:rsidRDefault="00752693">
      <w:pPr>
        <w:spacing w:after="92" w:line="259" w:lineRule="auto"/>
        <w:ind w:left="720" w:right="0" w:firstLine="0"/>
        <w:jc w:val="left"/>
      </w:pPr>
      <w:r>
        <w:t xml:space="preserve"> </w:t>
      </w:r>
    </w:p>
    <w:p w14:paraId="2ACA22BE" w14:textId="77777777" w:rsidR="000C110A" w:rsidRDefault="00752693">
      <w:pPr>
        <w:pStyle w:val="Heading2"/>
        <w:ind w:left="-5"/>
      </w:pPr>
      <w:r>
        <w:rPr>
          <w:i w:val="0"/>
        </w:rPr>
        <w:t xml:space="preserve">26. </w:t>
      </w:r>
      <w:r>
        <w:t xml:space="preserve">Culture </w:t>
      </w:r>
    </w:p>
    <w:p w14:paraId="27A39736" w14:textId="77777777" w:rsidR="000C110A" w:rsidRDefault="00752693">
      <w:pPr>
        <w:numPr>
          <w:ilvl w:val="0"/>
          <w:numId w:val="8"/>
        </w:numPr>
        <w:ind w:right="44" w:hanging="360"/>
      </w:pPr>
      <w:r>
        <w:t xml:space="preserve">The Council are a good employer, staff wellbeing is prioritised. </w:t>
      </w:r>
    </w:p>
    <w:p w14:paraId="49ECB155" w14:textId="77777777" w:rsidR="000C110A" w:rsidRDefault="00752693">
      <w:pPr>
        <w:numPr>
          <w:ilvl w:val="0"/>
          <w:numId w:val="8"/>
        </w:numPr>
        <w:ind w:right="44" w:hanging="360"/>
      </w:pPr>
      <w:r>
        <w:t xml:space="preserve">Members exhibit a wide variety of talents and backgrounds that bring a real strength to the Council. </w:t>
      </w:r>
    </w:p>
    <w:p w14:paraId="185BE4FF" w14:textId="77777777" w:rsidR="000C110A" w:rsidRDefault="00752693">
      <w:pPr>
        <w:numPr>
          <w:ilvl w:val="0"/>
          <w:numId w:val="8"/>
        </w:numPr>
        <w:ind w:right="44" w:hanging="360"/>
      </w:pPr>
      <w:r>
        <w:t xml:space="preserve">The importance of equality, diversity and inclusion is recognised. </w:t>
      </w:r>
    </w:p>
    <w:p w14:paraId="186CB952" w14:textId="77777777" w:rsidR="000C110A" w:rsidRDefault="00752693">
      <w:pPr>
        <w:numPr>
          <w:ilvl w:val="0"/>
          <w:numId w:val="8"/>
        </w:numPr>
        <w:ind w:right="44" w:hanging="360"/>
      </w:pPr>
      <w:r>
        <w:t xml:space="preserve">Relationship with the unions is good, with strong union representation. </w:t>
      </w:r>
    </w:p>
    <w:p w14:paraId="1E0E387C" w14:textId="77777777" w:rsidR="000C110A" w:rsidRDefault="00752693">
      <w:pPr>
        <w:spacing w:after="92" w:line="259" w:lineRule="auto"/>
        <w:ind w:left="0" w:right="0" w:firstLine="0"/>
        <w:jc w:val="left"/>
      </w:pPr>
      <w:r>
        <w:t xml:space="preserve"> </w:t>
      </w:r>
    </w:p>
    <w:p w14:paraId="2299C1A5" w14:textId="77777777" w:rsidR="000C110A" w:rsidRDefault="00752693">
      <w:pPr>
        <w:pStyle w:val="Heading1"/>
        <w:ind w:left="-5"/>
      </w:pPr>
      <w:r>
        <w:t xml:space="preserve">Peer Challenge Key Recommendations </w:t>
      </w:r>
    </w:p>
    <w:p w14:paraId="7FA68D30" w14:textId="77777777" w:rsidR="000C110A" w:rsidRDefault="00752693">
      <w:pPr>
        <w:ind w:left="415" w:right="44" w:hanging="430"/>
      </w:pPr>
      <w:r>
        <w:t xml:space="preserve">27. The Peer Team made ten key recommendations that they believe will help the Council progress the work on which it has embarked: </w:t>
      </w:r>
    </w:p>
    <w:p w14:paraId="338357C2" w14:textId="77777777" w:rsidR="000C110A" w:rsidRDefault="00752693">
      <w:pPr>
        <w:ind w:left="720" w:right="44" w:hanging="360"/>
      </w:pPr>
      <w:r>
        <w:lastRenderedPageBreak/>
        <w:t xml:space="preserve">a) </w:t>
      </w:r>
      <w:r>
        <w:rPr>
          <w:b/>
        </w:rPr>
        <w:t>Recommendation 1: Co-design shared outcomes</w:t>
      </w:r>
      <w:r>
        <w:t xml:space="preserve"> Convene the city’s anchor institutions to work together in developing shared outcomes and collectively drive how these are delivered and procured. </w:t>
      </w:r>
    </w:p>
    <w:p w14:paraId="50CA87EA" w14:textId="77777777" w:rsidR="000C110A" w:rsidRDefault="00752693">
      <w:pPr>
        <w:pStyle w:val="Heading1"/>
        <w:ind w:left="370"/>
      </w:pPr>
      <w:r>
        <w:rPr>
          <w:b w:val="0"/>
        </w:rPr>
        <w:t xml:space="preserve">b) </w:t>
      </w:r>
      <w:r>
        <w:t>Recommendation 2: Prioritisation</w:t>
      </w:r>
      <w:r>
        <w:rPr>
          <w:b w:val="0"/>
        </w:rPr>
        <w:t xml:space="preserve"> </w:t>
      </w:r>
    </w:p>
    <w:p w14:paraId="04CCFF11" w14:textId="77777777" w:rsidR="000C110A" w:rsidRDefault="00752693">
      <w:pPr>
        <w:spacing w:after="13"/>
        <w:ind w:left="730" w:right="44"/>
      </w:pPr>
      <w:r>
        <w:t xml:space="preserve">Match the Council’s ambitious plans to the resources required for their delivery. Be deliberate about adding and removing projects when something new is added. </w:t>
      </w:r>
    </w:p>
    <w:p w14:paraId="4761E799" w14:textId="77777777" w:rsidR="000C110A" w:rsidRDefault="00752693">
      <w:pPr>
        <w:ind w:left="730" w:right="44"/>
      </w:pPr>
      <w:r>
        <w:t xml:space="preserve">Strategically sequence the Council’s projects. Look to upskill and agilely move around staff to resource priorities. </w:t>
      </w:r>
    </w:p>
    <w:p w14:paraId="11FEA9CF" w14:textId="77777777" w:rsidR="000C110A" w:rsidRDefault="00752693">
      <w:pPr>
        <w:pStyle w:val="Heading1"/>
        <w:ind w:left="370"/>
      </w:pPr>
      <w:r>
        <w:rPr>
          <w:b w:val="0"/>
        </w:rPr>
        <w:t xml:space="preserve">c) </w:t>
      </w:r>
      <w:r>
        <w:t>Recommendation 3: Corporate centre / Programme management office</w:t>
      </w:r>
      <w:r>
        <w:rPr>
          <w:b w:val="0"/>
        </w:rPr>
        <w:t xml:space="preserve"> </w:t>
      </w:r>
    </w:p>
    <w:p w14:paraId="71C519C7" w14:textId="77777777" w:rsidR="000C110A" w:rsidRDefault="00752693">
      <w:pPr>
        <w:ind w:left="730" w:right="44"/>
      </w:pPr>
      <w:r>
        <w:t xml:space="preserve">Ensure there is corporate control on the many projects the Council is progressing. Consider making permanent the current Project Management Office structure and invest in the Council’s project management specialists. Look to upskill and equip staff with the necessary training for performance and project management. A team based within the corporate centre of the organisation should oversee the Council’s multiple projects including the Fit for the Future change projects, savings programme, capital programme and the IT improvements. This will help the Council in maintaining a corporate grip on project progress and see developments in the round. </w:t>
      </w:r>
    </w:p>
    <w:p w14:paraId="317ACE3F" w14:textId="77777777" w:rsidR="000C110A" w:rsidRDefault="00752693">
      <w:pPr>
        <w:pStyle w:val="Heading1"/>
        <w:ind w:left="370"/>
      </w:pPr>
      <w:r>
        <w:rPr>
          <w:b w:val="0"/>
        </w:rPr>
        <w:t xml:space="preserve">d) </w:t>
      </w:r>
      <w:r>
        <w:t xml:space="preserve">Recommendation 4: Performance management </w:t>
      </w:r>
    </w:p>
    <w:p w14:paraId="4F47108A" w14:textId="77777777" w:rsidR="000C110A" w:rsidRDefault="00752693">
      <w:pPr>
        <w:ind w:left="730" w:right="44"/>
      </w:pPr>
      <w:r>
        <w:t xml:space="preserve">The Council should refresh its performance management framework in line with the new </w:t>
      </w:r>
      <w:r>
        <w:rPr>
          <w:i/>
        </w:rPr>
        <w:t>Council Strategy</w:t>
      </w:r>
      <w:r>
        <w:t xml:space="preserve">. This framework should be linked to outcomes. The Council should look to use data more intelligently to improve service quality. A consistent performance and data-driven culture needs to be embedded. </w:t>
      </w:r>
    </w:p>
    <w:p w14:paraId="74526D2C" w14:textId="77777777" w:rsidR="000C110A" w:rsidRDefault="00752693">
      <w:pPr>
        <w:pStyle w:val="Heading1"/>
        <w:ind w:left="370"/>
      </w:pPr>
      <w:r>
        <w:rPr>
          <w:b w:val="0"/>
        </w:rPr>
        <w:t xml:space="preserve">e) </w:t>
      </w:r>
      <w:r>
        <w:t xml:space="preserve">Recommendation 5: Communicating the regeneration </w:t>
      </w:r>
    </w:p>
    <w:p w14:paraId="19333888" w14:textId="77777777" w:rsidR="000C110A" w:rsidRDefault="00752693">
      <w:pPr>
        <w:ind w:left="730" w:right="44"/>
      </w:pPr>
      <w:r>
        <w:t xml:space="preserve">The Council should continue and go further with its inclusive economy campaign. Seeking to inform and demonstrate how the exciting regeneration projects can benefit all </w:t>
      </w:r>
      <w:proofErr w:type="gramStart"/>
      <w:r>
        <w:t>local residents</w:t>
      </w:r>
      <w:proofErr w:type="gramEnd"/>
      <w:r>
        <w:t xml:space="preserve">. </w:t>
      </w:r>
    </w:p>
    <w:p w14:paraId="5D0C8382" w14:textId="77777777" w:rsidR="000C110A" w:rsidRDefault="00752693">
      <w:pPr>
        <w:pStyle w:val="Heading1"/>
        <w:ind w:left="370"/>
      </w:pPr>
      <w:r>
        <w:rPr>
          <w:b w:val="0"/>
        </w:rPr>
        <w:t xml:space="preserve">f) </w:t>
      </w:r>
      <w:r>
        <w:t xml:space="preserve">Recommendation 6: Organisational structure </w:t>
      </w:r>
    </w:p>
    <w:p w14:paraId="441E04B8" w14:textId="77777777" w:rsidR="000C110A" w:rsidRDefault="00752693">
      <w:pPr>
        <w:ind w:left="730" w:right="44"/>
      </w:pPr>
      <w:r>
        <w:t xml:space="preserve">When looking at the organisational structure the Council should have an </w:t>
      </w:r>
      <w:proofErr w:type="spellStart"/>
      <w:r>
        <w:t>outcomefocused</w:t>
      </w:r>
      <w:proofErr w:type="spellEnd"/>
      <w:r>
        <w:t xml:space="preserve"> mindset, using its data to drive policy and performance. The Council should use its resources flexibly to allow for agility in serving the delivery of projects. Recruitment, </w:t>
      </w:r>
      <w:proofErr w:type="gramStart"/>
      <w:r>
        <w:t>retention</w:t>
      </w:r>
      <w:proofErr w:type="gramEnd"/>
      <w:r>
        <w:t xml:space="preserve"> and progression should be at the forefront when considering an organisational structure.  </w:t>
      </w:r>
    </w:p>
    <w:p w14:paraId="4EA7CF4D" w14:textId="77777777" w:rsidR="000C110A" w:rsidRDefault="00752693">
      <w:pPr>
        <w:pStyle w:val="Heading1"/>
        <w:ind w:left="370"/>
      </w:pPr>
      <w:r>
        <w:rPr>
          <w:b w:val="0"/>
        </w:rPr>
        <w:t xml:space="preserve">g) </w:t>
      </w:r>
      <w:r>
        <w:t xml:space="preserve">Recommendation 7: Hybrid working / IT infrastructure </w:t>
      </w:r>
    </w:p>
    <w:p w14:paraId="16C88941" w14:textId="77777777" w:rsidR="000C110A" w:rsidRDefault="00752693">
      <w:pPr>
        <w:ind w:left="730" w:right="44"/>
      </w:pPr>
      <w:r>
        <w:t xml:space="preserve">The Council’s IT systems need to be improved; this is particularly important now most staff are remotely based. The Council should look to put on more in-person events and team meetings, providing reasons for staff to come into the office. The team principles for hybrid working are important and should be refreshed and emphasised regularly. </w:t>
      </w:r>
    </w:p>
    <w:p w14:paraId="264632A5" w14:textId="77777777" w:rsidR="000C110A" w:rsidRDefault="00752693">
      <w:pPr>
        <w:pStyle w:val="Heading1"/>
        <w:ind w:left="370"/>
      </w:pPr>
      <w:r>
        <w:rPr>
          <w:b w:val="0"/>
        </w:rPr>
        <w:t xml:space="preserve">h) </w:t>
      </w:r>
      <w:r>
        <w:t xml:space="preserve">Recommendation 8: Corporate Management Team (CMT) and Cabinet </w:t>
      </w:r>
    </w:p>
    <w:p w14:paraId="6E11A7F9" w14:textId="77777777" w:rsidR="000C110A" w:rsidRDefault="00752693">
      <w:pPr>
        <w:ind w:left="730" w:right="44"/>
      </w:pPr>
      <w:r>
        <w:t xml:space="preserve">Forward plan meetings between the CMT and Cabinet to co-design policy and keep all Cabinet members informed of projects across the Council. </w:t>
      </w:r>
    </w:p>
    <w:p w14:paraId="3665F8F6" w14:textId="77777777" w:rsidR="000C110A" w:rsidRDefault="00752693">
      <w:pPr>
        <w:pStyle w:val="Heading1"/>
        <w:ind w:left="370"/>
      </w:pPr>
      <w:proofErr w:type="spellStart"/>
      <w:r>
        <w:rPr>
          <w:b w:val="0"/>
        </w:rPr>
        <w:t>i</w:t>
      </w:r>
      <w:proofErr w:type="spellEnd"/>
      <w:r>
        <w:rPr>
          <w:b w:val="0"/>
        </w:rPr>
        <w:t xml:space="preserve">) </w:t>
      </w:r>
      <w:r>
        <w:t xml:space="preserve">Recommendation 9: Member development </w:t>
      </w:r>
    </w:p>
    <w:p w14:paraId="010CD8CD" w14:textId="77777777" w:rsidR="000C110A" w:rsidRDefault="00752693">
      <w:pPr>
        <w:ind w:left="730" w:right="44"/>
      </w:pPr>
      <w:r>
        <w:t xml:space="preserve">In preparing for the May 2024 member induction process, the Council needs to strengthen its training provision for new and existing members. Training should </w:t>
      </w:r>
      <w:r>
        <w:lastRenderedPageBreak/>
        <w:t xml:space="preserve">also be developed for new and existing Cabinet members. An annual Cabinet development day should be considered. In strengthening the member development programme, the Council is building capacity and expertise for the future.  </w:t>
      </w:r>
    </w:p>
    <w:p w14:paraId="64E5E55F" w14:textId="77777777" w:rsidR="000C110A" w:rsidRDefault="00752693">
      <w:pPr>
        <w:pStyle w:val="Heading1"/>
        <w:ind w:left="370"/>
      </w:pPr>
      <w:r>
        <w:rPr>
          <w:b w:val="0"/>
        </w:rPr>
        <w:t xml:space="preserve">j) </w:t>
      </w:r>
      <w:r>
        <w:t xml:space="preserve">Recommendation 10: The Oxford Model </w:t>
      </w:r>
    </w:p>
    <w:p w14:paraId="629D507E" w14:textId="77777777" w:rsidR="000C110A" w:rsidRDefault="00752693">
      <w:pPr>
        <w:numPr>
          <w:ilvl w:val="0"/>
          <w:numId w:val="9"/>
        </w:numPr>
        <w:ind w:right="44" w:hanging="360"/>
      </w:pPr>
      <w:r>
        <w:t xml:space="preserve">As with any model of delivery it is important the Council regularly and systematically assures itself it is getting value for money, quality of service and achievement of its intended outcomes. The Council should look to benchmark itself with other councils with wholly owned companies and consider an independent review to gain assurance on value for money and service quality. </w:t>
      </w:r>
    </w:p>
    <w:p w14:paraId="4825D50E" w14:textId="77777777" w:rsidR="000C110A" w:rsidRDefault="00752693">
      <w:pPr>
        <w:numPr>
          <w:ilvl w:val="0"/>
          <w:numId w:val="9"/>
        </w:numPr>
        <w:spacing w:after="138"/>
        <w:ind w:right="44" w:hanging="360"/>
      </w:pPr>
      <w:r>
        <w:t xml:space="preserve">Ensure there is an alignment between the </w:t>
      </w:r>
      <w:r>
        <w:rPr>
          <w:i/>
        </w:rPr>
        <w:t>Council Strategy</w:t>
      </w:r>
      <w:r>
        <w:t xml:space="preserve"> and the business plans of the </w:t>
      </w:r>
      <w:proofErr w:type="gramStart"/>
      <w:r>
        <w:t>wholly-owned</w:t>
      </w:r>
      <w:proofErr w:type="gramEnd"/>
      <w:r>
        <w:t xml:space="preserve"> companies. </w:t>
      </w:r>
    </w:p>
    <w:p w14:paraId="6E6B4769" w14:textId="77777777" w:rsidR="000C110A" w:rsidRDefault="00752693">
      <w:pPr>
        <w:numPr>
          <w:ilvl w:val="0"/>
          <w:numId w:val="9"/>
        </w:numPr>
        <w:ind w:right="44" w:hanging="360"/>
      </w:pPr>
      <w:r>
        <w:t xml:space="preserve">The Council should strengthen its client arrangements. This would then act as a mechanism to prevent the escalation of operational matters to the shareholder. </w:t>
      </w:r>
    </w:p>
    <w:p w14:paraId="249F725E" w14:textId="77777777" w:rsidR="000C110A" w:rsidRDefault="00752693">
      <w:pPr>
        <w:numPr>
          <w:ilvl w:val="0"/>
          <w:numId w:val="9"/>
        </w:numPr>
        <w:spacing w:after="226"/>
        <w:ind w:right="44" w:hanging="360"/>
      </w:pPr>
      <w:r>
        <w:t xml:space="preserve">The Council should deliver communications and dedicated training for all staff on the reasons for and the intended benefits of the Oxford Model. This will strengthen the organisation’s understanding of the approach the council has taken. </w:t>
      </w:r>
    </w:p>
    <w:p w14:paraId="13F3574B" w14:textId="77777777" w:rsidR="000C110A" w:rsidRDefault="00752693">
      <w:pPr>
        <w:spacing w:after="223" w:line="259" w:lineRule="auto"/>
        <w:ind w:left="0" w:right="0" w:firstLine="0"/>
        <w:jc w:val="left"/>
      </w:pPr>
      <w:r>
        <w:rPr>
          <w:b/>
        </w:rPr>
        <w:t xml:space="preserve"> </w:t>
      </w:r>
    </w:p>
    <w:p w14:paraId="7968953C" w14:textId="77777777" w:rsidR="000C110A" w:rsidRDefault="00752693">
      <w:pPr>
        <w:pStyle w:val="Heading1"/>
        <w:ind w:left="-5"/>
      </w:pPr>
      <w:r>
        <w:t xml:space="preserve">Future Action Plan </w:t>
      </w:r>
    </w:p>
    <w:p w14:paraId="3C321974" w14:textId="77777777" w:rsidR="000C110A" w:rsidRDefault="00752693">
      <w:pPr>
        <w:numPr>
          <w:ilvl w:val="0"/>
          <w:numId w:val="10"/>
        </w:numPr>
        <w:ind w:right="44" w:hanging="360"/>
      </w:pPr>
      <w:r>
        <w:t xml:space="preserve">The Council’s Corporate Management Team and Organisational Delivery Group have proactively considered, </w:t>
      </w:r>
      <w:proofErr w:type="gramStart"/>
      <w:r>
        <w:t>discussed</w:t>
      </w:r>
      <w:proofErr w:type="gramEnd"/>
      <w:r>
        <w:t xml:space="preserve"> and reflected on these findings. </w:t>
      </w:r>
    </w:p>
    <w:p w14:paraId="69075E51" w14:textId="77777777" w:rsidR="000C110A" w:rsidRDefault="00752693">
      <w:pPr>
        <w:numPr>
          <w:ilvl w:val="0"/>
          <w:numId w:val="10"/>
        </w:numPr>
        <w:ind w:right="44" w:hanging="360"/>
      </w:pPr>
      <w:r>
        <w:t xml:space="preserve">In response to the findings the Council commenced work early to start developing a draft Action Plan. The Action Plan will continue to be developed and is expected to be brought to Cabinet and published in line with the LGA reporting timelines “within eight weeks of the CPC report’s publication”. </w:t>
      </w:r>
    </w:p>
    <w:p w14:paraId="5ABA27D6" w14:textId="77777777" w:rsidR="000C110A" w:rsidRDefault="00752693">
      <w:pPr>
        <w:spacing w:after="222" w:line="259" w:lineRule="auto"/>
        <w:ind w:left="0" w:right="0" w:firstLine="0"/>
        <w:jc w:val="left"/>
      </w:pPr>
      <w:r>
        <w:t xml:space="preserve"> </w:t>
      </w:r>
    </w:p>
    <w:p w14:paraId="3297117D" w14:textId="77777777" w:rsidR="000C110A" w:rsidRDefault="00752693">
      <w:pPr>
        <w:pStyle w:val="Heading1"/>
        <w:ind w:left="-5"/>
      </w:pPr>
      <w:r>
        <w:t xml:space="preserve">Future key milestones </w:t>
      </w:r>
    </w:p>
    <w:p w14:paraId="6886AC98" w14:textId="77777777" w:rsidR="000C110A" w:rsidRDefault="00752693">
      <w:pPr>
        <w:spacing w:after="586"/>
        <w:ind w:left="-5" w:right="44"/>
      </w:pPr>
      <w:r>
        <w:t xml:space="preserve">30.  </w:t>
      </w:r>
    </w:p>
    <w:p w14:paraId="1198284D" w14:textId="77777777" w:rsidR="000C110A" w:rsidRDefault="00752693">
      <w:pPr>
        <w:tabs>
          <w:tab w:val="center" w:pos="1148"/>
          <w:tab w:val="center" w:pos="3411"/>
          <w:tab w:val="center" w:pos="5681"/>
          <w:tab w:val="center" w:pos="7942"/>
        </w:tabs>
        <w:spacing w:after="0" w:line="259" w:lineRule="auto"/>
        <w:ind w:left="0" w:right="0" w:firstLine="0"/>
        <w:jc w:val="left"/>
      </w:pPr>
      <w:r>
        <w:rPr>
          <w:rFonts w:ascii="Calibri" w:eastAsia="Calibri" w:hAnsi="Calibri" w:cs="Calibri"/>
          <w:sz w:val="22"/>
        </w:rPr>
        <w:tab/>
        <w:t xml:space="preserve">Publish our </w:t>
      </w:r>
      <w:r>
        <w:rPr>
          <w:rFonts w:ascii="Calibri" w:eastAsia="Calibri" w:hAnsi="Calibri" w:cs="Calibri"/>
          <w:sz w:val="22"/>
        </w:rPr>
        <w:tab/>
        <w:t xml:space="preserve">Develop and publish </w:t>
      </w:r>
      <w:r>
        <w:rPr>
          <w:rFonts w:ascii="Calibri" w:eastAsia="Calibri" w:hAnsi="Calibri" w:cs="Calibri"/>
          <w:sz w:val="22"/>
        </w:rPr>
        <w:tab/>
        <w:t xml:space="preserve">Progress review with </w:t>
      </w:r>
      <w:r>
        <w:rPr>
          <w:rFonts w:ascii="Calibri" w:eastAsia="Calibri" w:hAnsi="Calibri" w:cs="Calibri"/>
          <w:sz w:val="22"/>
        </w:rPr>
        <w:tab/>
        <w:t xml:space="preserve">Publish our </w:t>
      </w:r>
      <w:proofErr w:type="gramStart"/>
      <w:r>
        <w:rPr>
          <w:rFonts w:ascii="Calibri" w:eastAsia="Calibri" w:hAnsi="Calibri" w:cs="Calibri"/>
          <w:sz w:val="22"/>
        </w:rPr>
        <w:t>Progress</w:t>
      </w:r>
      <w:proofErr w:type="gramEnd"/>
      <w:r>
        <w:rPr>
          <w:rFonts w:ascii="Calibri" w:eastAsia="Calibri" w:hAnsi="Calibri" w:cs="Calibri"/>
          <w:sz w:val="22"/>
        </w:rPr>
        <w:t xml:space="preserve"> </w:t>
      </w:r>
    </w:p>
    <w:p w14:paraId="154EC6BA" w14:textId="77777777" w:rsidR="000C110A" w:rsidRDefault="00752693">
      <w:pPr>
        <w:tabs>
          <w:tab w:val="center" w:pos="1153"/>
          <w:tab w:val="center" w:pos="3417"/>
          <w:tab w:val="center" w:pos="5685"/>
          <w:tab w:val="center" w:pos="7946"/>
        </w:tabs>
        <w:spacing w:after="0" w:line="259" w:lineRule="auto"/>
        <w:ind w:left="0" w:right="0" w:firstLine="0"/>
        <w:jc w:val="left"/>
      </w:pPr>
      <w:r>
        <w:rPr>
          <w:rFonts w:ascii="Calibri" w:eastAsia="Calibri" w:hAnsi="Calibri" w:cs="Calibri"/>
          <w:sz w:val="22"/>
        </w:rPr>
        <w:tab/>
        <w:t xml:space="preserve">Corporate Peer </w:t>
      </w:r>
      <w:r>
        <w:rPr>
          <w:rFonts w:ascii="Calibri" w:eastAsia="Calibri" w:hAnsi="Calibri" w:cs="Calibri"/>
          <w:sz w:val="22"/>
        </w:rPr>
        <w:tab/>
        <w:t>our Action Plan</w:t>
      </w:r>
      <w:r>
        <w:rPr>
          <w:rFonts w:ascii="Calibri" w:eastAsia="Calibri" w:hAnsi="Calibri" w:cs="Calibri"/>
          <w:sz w:val="22"/>
        </w:rPr>
        <w:tab/>
        <w:t xml:space="preserve">the Local </w:t>
      </w:r>
      <w:r>
        <w:rPr>
          <w:rFonts w:ascii="Calibri" w:eastAsia="Calibri" w:hAnsi="Calibri" w:cs="Calibri"/>
          <w:sz w:val="22"/>
        </w:rPr>
        <w:tab/>
        <w:t xml:space="preserve">Review </w:t>
      </w:r>
      <w:proofErr w:type="gramStart"/>
      <w:r>
        <w:rPr>
          <w:rFonts w:ascii="Calibri" w:eastAsia="Calibri" w:hAnsi="Calibri" w:cs="Calibri"/>
          <w:sz w:val="22"/>
        </w:rPr>
        <w:t>report</w:t>
      </w:r>
      <w:proofErr w:type="gramEnd"/>
    </w:p>
    <w:p w14:paraId="0A2A7C41" w14:textId="77777777" w:rsidR="000C110A" w:rsidRDefault="00752693">
      <w:pPr>
        <w:tabs>
          <w:tab w:val="center" w:pos="1158"/>
          <w:tab w:val="center" w:pos="5681"/>
        </w:tabs>
        <w:spacing w:after="0" w:line="259" w:lineRule="auto"/>
        <w:ind w:left="0" w:right="0" w:firstLine="0"/>
        <w:jc w:val="left"/>
      </w:pPr>
      <w:r>
        <w:rPr>
          <w:rFonts w:ascii="Calibri" w:eastAsia="Calibri" w:hAnsi="Calibri" w:cs="Calibri"/>
          <w:sz w:val="22"/>
        </w:rPr>
        <w:tab/>
        <w:t>Challenge report</w:t>
      </w:r>
      <w:r>
        <w:rPr>
          <w:rFonts w:ascii="Calibri" w:eastAsia="Calibri" w:hAnsi="Calibri" w:cs="Calibri"/>
          <w:sz w:val="22"/>
        </w:rPr>
        <w:tab/>
      </w:r>
      <w:proofErr w:type="spellStart"/>
      <w:r>
        <w:rPr>
          <w:rFonts w:ascii="Calibri" w:eastAsia="Calibri" w:hAnsi="Calibri" w:cs="Calibri"/>
          <w:sz w:val="22"/>
        </w:rPr>
        <w:t>Governement</w:t>
      </w:r>
      <w:proofErr w:type="spellEnd"/>
      <w:r>
        <w:rPr>
          <w:rFonts w:ascii="Calibri" w:eastAsia="Calibri" w:hAnsi="Calibri" w:cs="Calibri"/>
          <w:sz w:val="22"/>
        </w:rPr>
        <w:t xml:space="preserve"> </w:t>
      </w:r>
    </w:p>
    <w:p w14:paraId="1AED8350" w14:textId="77777777" w:rsidR="000C110A" w:rsidRDefault="00752693">
      <w:pPr>
        <w:tabs>
          <w:tab w:val="center" w:pos="1168"/>
          <w:tab w:val="center" w:pos="3459"/>
          <w:tab w:val="center" w:pos="5706"/>
          <w:tab w:val="center" w:pos="7982"/>
        </w:tabs>
        <w:spacing w:after="10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8ECB45A" wp14:editId="4BCF9F8F">
                <wp:simplePos x="0" y="0"/>
                <wp:positionH relativeFrom="column">
                  <wp:posOffset>6502</wp:posOffset>
                </wp:positionH>
                <wp:positionV relativeFrom="paragraph">
                  <wp:posOffset>-553106</wp:posOffset>
                </wp:positionV>
                <wp:extent cx="5807431" cy="712470"/>
                <wp:effectExtent l="0" t="0" r="0" b="0"/>
                <wp:wrapNone/>
                <wp:docPr id="8781" name="Group 8781"/>
                <wp:cNvGraphicFramePr/>
                <a:graphic xmlns:a="http://schemas.openxmlformats.org/drawingml/2006/main">
                  <a:graphicData uri="http://schemas.microsoft.com/office/word/2010/wordprocessingGroup">
                    <wpg:wgp>
                      <wpg:cNvGrpSpPr/>
                      <wpg:grpSpPr>
                        <a:xfrm>
                          <a:off x="0" y="0"/>
                          <a:ext cx="5807431" cy="712470"/>
                          <a:chOff x="0" y="0"/>
                          <a:chExt cx="5807431" cy="712470"/>
                        </a:xfrm>
                      </wpg:grpSpPr>
                      <wps:wsp>
                        <wps:cNvPr id="1143" name="Shape 1143"/>
                        <wps:cNvSpPr/>
                        <wps:spPr>
                          <a:xfrm>
                            <a:off x="0" y="0"/>
                            <a:ext cx="119748" cy="534289"/>
                          </a:xfrm>
                          <a:custGeom>
                            <a:avLst/>
                            <a:gdLst/>
                            <a:ahLst/>
                            <a:cxnLst/>
                            <a:rect l="0" t="0" r="0" b="0"/>
                            <a:pathLst>
                              <a:path w="119748" h="534289">
                                <a:moveTo>
                                  <a:pt x="119748" y="0"/>
                                </a:moveTo>
                                <a:lnTo>
                                  <a:pt x="119748" y="1143"/>
                                </a:lnTo>
                                <a:lnTo>
                                  <a:pt x="1194" y="1143"/>
                                </a:lnTo>
                                <a:lnTo>
                                  <a:pt x="1194" y="534289"/>
                                </a:lnTo>
                                <a:lnTo>
                                  <a:pt x="0" y="534289"/>
                                </a:lnTo>
                                <a:lnTo>
                                  <a:pt x="0" y="0"/>
                                </a:lnTo>
                                <a:close/>
                              </a:path>
                            </a:pathLst>
                          </a:custGeom>
                          <a:ln w="25400" cap="flat">
                            <a:round/>
                          </a:ln>
                        </wps:spPr>
                        <wps:style>
                          <a:lnRef idx="1">
                            <a:srgbClr val="C0504D"/>
                          </a:lnRef>
                          <a:fillRef idx="0">
                            <a:srgbClr val="000000">
                              <a:alpha val="0"/>
                            </a:srgbClr>
                          </a:fillRef>
                          <a:effectRef idx="0">
                            <a:scrgbClr r="0" g="0" b="0"/>
                          </a:effectRef>
                          <a:fontRef idx="none"/>
                        </wps:style>
                        <wps:bodyPr/>
                      </wps:wsp>
                      <wps:wsp>
                        <wps:cNvPr id="1144" name="Shape 1144"/>
                        <wps:cNvSpPr/>
                        <wps:spPr>
                          <a:xfrm>
                            <a:off x="0" y="534289"/>
                            <a:ext cx="1496797" cy="178181"/>
                          </a:xfrm>
                          <a:custGeom>
                            <a:avLst/>
                            <a:gdLst/>
                            <a:ahLst/>
                            <a:cxnLst/>
                            <a:rect l="0" t="0" r="0" b="0"/>
                            <a:pathLst>
                              <a:path w="1496797" h="178181">
                                <a:moveTo>
                                  <a:pt x="0" y="0"/>
                                </a:moveTo>
                                <a:lnTo>
                                  <a:pt x="1452220" y="0"/>
                                </a:lnTo>
                                <a:lnTo>
                                  <a:pt x="1496797" y="89027"/>
                                </a:lnTo>
                                <a:lnTo>
                                  <a:pt x="1452220" y="178181"/>
                                </a:lnTo>
                                <a:lnTo>
                                  <a:pt x="0" y="178181"/>
                                </a:lnTo>
                                <a:lnTo>
                                  <a:pt x="0"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145" name="Shape 1145"/>
                        <wps:cNvSpPr/>
                        <wps:spPr>
                          <a:xfrm>
                            <a:off x="0" y="534289"/>
                            <a:ext cx="1496797" cy="178181"/>
                          </a:xfrm>
                          <a:custGeom>
                            <a:avLst/>
                            <a:gdLst/>
                            <a:ahLst/>
                            <a:cxnLst/>
                            <a:rect l="0" t="0" r="0" b="0"/>
                            <a:pathLst>
                              <a:path w="1496797" h="178181">
                                <a:moveTo>
                                  <a:pt x="0" y="0"/>
                                </a:moveTo>
                                <a:lnTo>
                                  <a:pt x="1452220" y="0"/>
                                </a:lnTo>
                                <a:lnTo>
                                  <a:pt x="1496797" y="89027"/>
                                </a:lnTo>
                                <a:lnTo>
                                  <a:pt x="1452220" y="178181"/>
                                </a:lnTo>
                                <a:lnTo>
                                  <a:pt x="0" y="178181"/>
                                </a:lnTo>
                                <a:close/>
                              </a:path>
                            </a:pathLst>
                          </a:custGeom>
                          <a:ln w="25400" cap="flat">
                            <a:round/>
                          </a:ln>
                        </wps:spPr>
                        <wps:style>
                          <a:lnRef idx="1">
                            <a:srgbClr val="C0504D"/>
                          </a:lnRef>
                          <a:fillRef idx="0">
                            <a:srgbClr val="000000">
                              <a:alpha val="0"/>
                            </a:srgbClr>
                          </a:fillRef>
                          <a:effectRef idx="0">
                            <a:scrgbClr r="0" g="0" b="0"/>
                          </a:effectRef>
                          <a:fontRef idx="none"/>
                        </wps:style>
                        <wps:bodyPr/>
                      </wps:wsp>
                      <wps:wsp>
                        <wps:cNvPr id="1151" name="Shape 1151"/>
                        <wps:cNvSpPr/>
                        <wps:spPr>
                          <a:xfrm>
                            <a:off x="1436853" y="0"/>
                            <a:ext cx="119761" cy="534289"/>
                          </a:xfrm>
                          <a:custGeom>
                            <a:avLst/>
                            <a:gdLst/>
                            <a:ahLst/>
                            <a:cxnLst/>
                            <a:rect l="0" t="0" r="0" b="0"/>
                            <a:pathLst>
                              <a:path w="119761" h="534289">
                                <a:moveTo>
                                  <a:pt x="0" y="0"/>
                                </a:moveTo>
                                <a:lnTo>
                                  <a:pt x="119761" y="0"/>
                                </a:lnTo>
                                <a:lnTo>
                                  <a:pt x="119761" y="1143"/>
                                </a:lnTo>
                                <a:lnTo>
                                  <a:pt x="1270" y="1143"/>
                                </a:lnTo>
                                <a:lnTo>
                                  <a:pt x="1270" y="534289"/>
                                </a:lnTo>
                                <a:lnTo>
                                  <a:pt x="0" y="534289"/>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153" name="Shape 1153"/>
                        <wps:cNvSpPr/>
                        <wps:spPr>
                          <a:xfrm>
                            <a:off x="1436853" y="0"/>
                            <a:ext cx="119761" cy="534289"/>
                          </a:xfrm>
                          <a:custGeom>
                            <a:avLst/>
                            <a:gdLst/>
                            <a:ahLst/>
                            <a:cxnLst/>
                            <a:rect l="0" t="0" r="0" b="0"/>
                            <a:pathLst>
                              <a:path w="119761" h="534289">
                                <a:moveTo>
                                  <a:pt x="119761" y="0"/>
                                </a:moveTo>
                                <a:lnTo>
                                  <a:pt x="119761" y="1143"/>
                                </a:lnTo>
                                <a:lnTo>
                                  <a:pt x="1270" y="1143"/>
                                </a:lnTo>
                                <a:lnTo>
                                  <a:pt x="1270" y="534289"/>
                                </a:lnTo>
                                <a:lnTo>
                                  <a:pt x="0" y="534289"/>
                                </a:lnTo>
                                <a:lnTo>
                                  <a:pt x="0" y="0"/>
                                </a:lnTo>
                                <a:close/>
                              </a:path>
                            </a:pathLst>
                          </a:custGeom>
                          <a:ln w="25400" cap="flat">
                            <a:round/>
                          </a:ln>
                        </wps:spPr>
                        <wps:style>
                          <a:lnRef idx="1">
                            <a:srgbClr val="9BBB59"/>
                          </a:lnRef>
                          <a:fillRef idx="0">
                            <a:srgbClr val="000000">
                              <a:alpha val="0"/>
                            </a:srgbClr>
                          </a:fillRef>
                          <a:effectRef idx="0">
                            <a:scrgbClr r="0" g="0" b="0"/>
                          </a:effectRef>
                          <a:fontRef idx="none"/>
                        </wps:style>
                        <wps:bodyPr/>
                      </wps:wsp>
                      <wps:wsp>
                        <wps:cNvPr id="1154" name="Shape 1154"/>
                        <wps:cNvSpPr/>
                        <wps:spPr>
                          <a:xfrm>
                            <a:off x="1436853" y="534289"/>
                            <a:ext cx="1496822" cy="178181"/>
                          </a:xfrm>
                          <a:custGeom>
                            <a:avLst/>
                            <a:gdLst/>
                            <a:ahLst/>
                            <a:cxnLst/>
                            <a:rect l="0" t="0" r="0" b="0"/>
                            <a:pathLst>
                              <a:path w="1496822" h="178181">
                                <a:moveTo>
                                  <a:pt x="0" y="0"/>
                                </a:moveTo>
                                <a:lnTo>
                                  <a:pt x="1452245" y="0"/>
                                </a:lnTo>
                                <a:lnTo>
                                  <a:pt x="1496822" y="89027"/>
                                </a:lnTo>
                                <a:lnTo>
                                  <a:pt x="1452245" y="178181"/>
                                </a:lnTo>
                                <a:lnTo>
                                  <a:pt x="0" y="178181"/>
                                </a:lnTo>
                                <a:lnTo>
                                  <a:pt x="44577" y="89027"/>
                                </a:lnTo>
                                <a:lnTo>
                                  <a:pt x="0"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155" name="Shape 1155"/>
                        <wps:cNvSpPr/>
                        <wps:spPr>
                          <a:xfrm>
                            <a:off x="1436853" y="534289"/>
                            <a:ext cx="1496822" cy="178181"/>
                          </a:xfrm>
                          <a:custGeom>
                            <a:avLst/>
                            <a:gdLst/>
                            <a:ahLst/>
                            <a:cxnLst/>
                            <a:rect l="0" t="0" r="0" b="0"/>
                            <a:pathLst>
                              <a:path w="1496822" h="178181">
                                <a:moveTo>
                                  <a:pt x="0" y="0"/>
                                </a:moveTo>
                                <a:lnTo>
                                  <a:pt x="1452245" y="0"/>
                                </a:lnTo>
                                <a:lnTo>
                                  <a:pt x="1496822" y="89027"/>
                                </a:lnTo>
                                <a:lnTo>
                                  <a:pt x="1452245" y="178181"/>
                                </a:lnTo>
                                <a:lnTo>
                                  <a:pt x="0" y="178181"/>
                                </a:lnTo>
                                <a:lnTo>
                                  <a:pt x="44577" y="89027"/>
                                </a:lnTo>
                                <a:close/>
                              </a:path>
                            </a:pathLst>
                          </a:custGeom>
                          <a:ln w="25400" cap="flat">
                            <a:miter lim="101600"/>
                          </a:ln>
                        </wps:spPr>
                        <wps:style>
                          <a:lnRef idx="1">
                            <a:srgbClr val="9BBB59"/>
                          </a:lnRef>
                          <a:fillRef idx="0">
                            <a:srgbClr val="000000">
                              <a:alpha val="0"/>
                            </a:srgbClr>
                          </a:fillRef>
                          <a:effectRef idx="0">
                            <a:scrgbClr r="0" g="0" b="0"/>
                          </a:effectRef>
                          <a:fontRef idx="none"/>
                        </wps:style>
                        <wps:bodyPr/>
                      </wps:wsp>
                      <wps:wsp>
                        <wps:cNvPr id="1160" name="Shape 1160"/>
                        <wps:cNvSpPr/>
                        <wps:spPr>
                          <a:xfrm>
                            <a:off x="2873731" y="0"/>
                            <a:ext cx="119761" cy="534289"/>
                          </a:xfrm>
                          <a:custGeom>
                            <a:avLst/>
                            <a:gdLst/>
                            <a:ahLst/>
                            <a:cxnLst/>
                            <a:rect l="0" t="0" r="0" b="0"/>
                            <a:pathLst>
                              <a:path w="119761" h="534289">
                                <a:moveTo>
                                  <a:pt x="0" y="0"/>
                                </a:moveTo>
                                <a:lnTo>
                                  <a:pt x="119761" y="0"/>
                                </a:lnTo>
                                <a:lnTo>
                                  <a:pt x="119761" y="1143"/>
                                </a:lnTo>
                                <a:lnTo>
                                  <a:pt x="1270" y="1143"/>
                                </a:lnTo>
                                <a:lnTo>
                                  <a:pt x="1270" y="534289"/>
                                </a:lnTo>
                                <a:lnTo>
                                  <a:pt x="0" y="534289"/>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162" name="Shape 1162"/>
                        <wps:cNvSpPr/>
                        <wps:spPr>
                          <a:xfrm>
                            <a:off x="2873731" y="0"/>
                            <a:ext cx="119761" cy="534289"/>
                          </a:xfrm>
                          <a:custGeom>
                            <a:avLst/>
                            <a:gdLst/>
                            <a:ahLst/>
                            <a:cxnLst/>
                            <a:rect l="0" t="0" r="0" b="0"/>
                            <a:pathLst>
                              <a:path w="119761" h="534289">
                                <a:moveTo>
                                  <a:pt x="119761" y="0"/>
                                </a:moveTo>
                                <a:lnTo>
                                  <a:pt x="119761" y="1143"/>
                                </a:lnTo>
                                <a:lnTo>
                                  <a:pt x="1270" y="1143"/>
                                </a:lnTo>
                                <a:lnTo>
                                  <a:pt x="1270" y="534289"/>
                                </a:lnTo>
                                <a:lnTo>
                                  <a:pt x="0" y="534289"/>
                                </a:lnTo>
                                <a:lnTo>
                                  <a:pt x="0" y="0"/>
                                </a:lnTo>
                                <a:close/>
                              </a:path>
                            </a:pathLst>
                          </a:custGeom>
                          <a:ln w="25400" cap="flat">
                            <a:round/>
                          </a:ln>
                        </wps:spPr>
                        <wps:style>
                          <a:lnRef idx="1">
                            <a:srgbClr val="8064A2"/>
                          </a:lnRef>
                          <a:fillRef idx="0">
                            <a:srgbClr val="000000">
                              <a:alpha val="0"/>
                            </a:srgbClr>
                          </a:fillRef>
                          <a:effectRef idx="0">
                            <a:scrgbClr r="0" g="0" b="0"/>
                          </a:effectRef>
                          <a:fontRef idx="none"/>
                        </wps:style>
                        <wps:bodyPr/>
                      </wps:wsp>
                      <wps:wsp>
                        <wps:cNvPr id="1163" name="Shape 1163"/>
                        <wps:cNvSpPr/>
                        <wps:spPr>
                          <a:xfrm>
                            <a:off x="2873731" y="534289"/>
                            <a:ext cx="1496822" cy="178181"/>
                          </a:xfrm>
                          <a:custGeom>
                            <a:avLst/>
                            <a:gdLst/>
                            <a:ahLst/>
                            <a:cxnLst/>
                            <a:rect l="0" t="0" r="0" b="0"/>
                            <a:pathLst>
                              <a:path w="1496822" h="178181">
                                <a:moveTo>
                                  <a:pt x="0" y="0"/>
                                </a:moveTo>
                                <a:lnTo>
                                  <a:pt x="1452245" y="0"/>
                                </a:lnTo>
                                <a:lnTo>
                                  <a:pt x="1496822" y="89027"/>
                                </a:lnTo>
                                <a:lnTo>
                                  <a:pt x="1452245" y="178181"/>
                                </a:lnTo>
                                <a:lnTo>
                                  <a:pt x="0" y="178181"/>
                                </a:lnTo>
                                <a:lnTo>
                                  <a:pt x="44577" y="89027"/>
                                </a:lnTo>
                                <a:lnTo>
                                  <a:pt x="0" y="0"/>
                                </a:lnTo>
                                <a:close/>
                              </a:path>
                            </a:pathLst>
                          </a:custGeom>
                          <a:ln w="0" cap="flat">
                            <a:miter lim="101600"/>
                          </a:ln>
                        </wps:spPr>
                        <wps:style>
                          <a:lnRef idx="0">
                            <a:srgbClr val="000000">
                              <a:alpha val="0"/>
                            </a:srgbClr>
                          </a:lnRef>
                          <a:fillRef idx="1">
                            <a:srgbClr val="8064A2"/>
                          </a:fillRef>
                          <a:effectRef idx="0">
                            <a:scrgbClr r="0" g="0" b="0"/>
                          </a:effectRef>
                          <a:fontRef idx="none"/>
                        </wps:style>
                        <wps:bodyPr/>
                      </wps:wsp>
                      <wps:wsp>
                        <wps:cNvPr id="1164" name="Shape 1164"/>
                        <wps:cNvSpPr/>
                        <wps:spPr>
                          <a:xfrm>
                            <a:off x="2873731" y="534289"/>
                            <a:ext cx="1496822" cy="178181"/>
                          </a:xfrm>
                          <a:custGeom>
                            <a:avLst/>
                            <a:gdLst/>
                            <a:ahLst/>
                            <a:cxnLst/>
                            <a:rect l="0" t="0" r="0" b="0"/>
                            <a:pathLst>
                              <a:path w="1496822" h="178181">
                                <a:moveTo>
                                  <a:pt x="0" y="0"/>
                                </a:moveTo>
                                <a:lnTo>
                                  <a:pt x="1452245" y="0"/>
                                </a:lnTo>
                                <a:lnTo>
                                  <a:pt x="1496822" y="89027"/>
                                </a:lnTo>
                                <a:lnTo>
                                  <a:pt x="1452245" y="178181"/>
                                </a:lnTo>
                                <a:lnTo>
                                  <a:pt x="0" y="178181"/>
                                </a:lnTo>
                                <a:lnTo>
                                  <a:pt x="44577" y="89027"/>
                                </a:lnTo>
                                <a:close/>
                              </a:path>
                            </a:pathLst>
                          </a:custGeom>
                          <a:ln w="25400" cap="flat">
                            <a:miter lim="101600"/>
                          </a:ln>
                        </wps:spPr>
                        <wps:style>
                          <a:lnRef idx="1">
                            <a:srgbClr val="8064A2"/>
                          </a:lnRef>
                          <a:fillRef idx="0">
                            <a:srgbClr val="000000">
                              <a:alpha val="0"/>
                            </a:srgbClr>
                          </a:fillRef>
                          <a:effectRef idx="0">
                            <a:scrgbClr r="0" g="0" b="0"/>
                          </a:effectRef>
                          <a:fontRef idx="none"/>
                        </wps:style>
                        <wps:bodyPr/>
                      </wps:wsp>
                      <wps:wsp>
                        <wps:cNvPr id="1171" name="Shape 1171"/>
                        <wps:cNvSpPr/>
                        <wps:spPr>
                          <a:xfrm>
                            <a:off x="4310609" y="0"/>
                            <a:ext cx="119761" cy="534289"/>
                          </a:xfrm>
                          <a:custGeom>
                            <a:avLst/>
                            <a:gdLst/>
                            <a:ahLst/>
                            <a:cxnLst/>
                            <a:rect l="0" t="0" r="0" b="0"/>
                            <a:pathLst>
                              <a:path w="119761" h="534289">
                                <a:moveTo>
                                  <a:pt x="0" y="0"/>
                                </a:moveTo>
                                <a:lnTo>
                                  <a:pt x="119761" y="0"/>
                                </a:lnTo>
                                <a:lnTo>
                                  <a:pt x="119761" y="1143"/>
                                </a:lnTo>
                                <a:lnTo>
                                  <a:pt x="1270" y="1143"/>
                                </a:lnTo>
                                <a:lnTo>
                                  <a:pt x="1270" y="534289"/>
                                </a:lnTo>
                                <a:lnTo>
                                  <a:pt x="0" y="534289"/>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173" name="Shape 1173"/>
                        <wps:cNvSpPr/>
                        <wps:spPr>
                          <a:xfrm>
                            <a:off x="4310609" y="0"/>
                            <a:ext cx="119761" cy="534289"/>
                          </a:xfrm>
                          <a:custGeom>
                            <a:avLst/>
                            <a:gdLst/>
                            <a:ahLst/>
                            <a:cxnLst/>
                            <a:rect l="0" t="0" r="0" b="0"/>
                            <a:pathLst>
                              <a:path w="119761" h="534289">
                                <a:moveTo>
                                  <a:pt x="119761" y="0"/>
                                </a:moveTo>
                                <a:lnTo>
                                  <a:pt x="119761" y="1143"/>
                                </a:lnTo>
                                <a:lnTo>
                                  <a:pt x="1270" y="1143"/>
                                </a:lnTo>
                                <a:lnTo>
                                  <a:pt x="1270" y="534289"/>
                                </a:lnTo>
                                <a:lnTo>
                                  <a:pt x="0" y="534289"/>
                                </a:lnTo>
                                <a:lnTo>
                                  <a:pt x="0" y="0"/>
                                </a:lnTo>
                                <a:close/>
                              </a:path>
                            </a:pathLst>
                          </a:custGeom>
                          <a:ln w="25400" cap="flat">
                            <a:round/>
                          </a:ln>
                        </wps:spPr>
                        <wps:style>
                          <a:lnRef idx="1">
                            <a:srgbClr val="4BACC6"/>
                          </a:lnRef>
                          <a:fillRef idx="0">
                            <a:srgbClr val="000000">
                              <a:alpha val="0"/>
                            </a:srgbClr>
                          </a:fillRef>
                          <a:effectRef idx="0">
                            <a:scrgbClr r="0" g="0" b="0"/>
                          </a:effectRef>
                          <a:fontRef idx="none"/>
                        </wps:style>
                        <wps:bodyPr/>
                      </wps:wsp>
                      <wps:wsp>
                        <wps:cNvPr id="1174" name="Shape 1174"/>
                        <wps:cNvSpPr/>
                        <wps:spPr>
                          <a:xfrm>
                            <a:off x="4310609" y="534289"/>
                            <a:ext cx="1496822" cy="178181"/>
                          </a:xfrm>
                          <a:custGeom>
                            <a:avLst/>
                            <a:gdLst/>
                            <a:ahLst/>
                            <a:cxnLst/>
                            <a:rect l="0" t="0" r="0" b="0"/>
                            <a:pathLst>
                              <a:path w="1496822" h="178181">
                                <a:moveTo>
                                  <a:pt x="0" y="0"/>
                                </a:moveTo>
                                <a:lnTo>
                                  <a:pt x="1452245" y="0"/>
                                </a:lnTo>
                                <a:lnTo>
                                  <a:pt x="1496822" y="89027"/>
                                </a:lnTo>
                                <a:lnTo>
                                  <a:pt x="1452245" y="178181"/>
                                </a:lnTo>
                                <a:lnTo>
                                  <a:pt x="0" y="178181"/>
                                </a:lnTo>
                                <a:lnTo>
                                  <a:pt x="44577" y="89027"/>
                                </a:lnTo>
                                <a:lnTo>
                                  <a:pt x="0" y="0"/>
                                </a:lnTo>
                                <a:close/>
                              </a:path>
                            </a:pathLst>
                          </a:custGeom>
                          <a:ln w="0" cap="flat">
                            <a:miter lim="101600"/>
                          </a:ln>
                        </wps:spPr>
                        <wps:style>
                          <a:lnRef idx="0">
                            <a:srgbClr val="000000">
                              <a:alpha val="0"/>
                            </a:srgbClr>
                          </a:lnRef>
                          <a:fillRef idx="1">
                            <a:srgbClr val="4BACC6"/>
                          </a:fillRef>
                          <a:effectRef idx="0">
                            <a:scrgbClr r="0" g="0" b="0"/>
                          </a:effectRef>
                          <a:fontRef idx="none"/>
                        </wps:style>
                        <wps:bodyPr/>
                      </wps:wsp>
                      <wps:wsp>
                        <wps:cNvPr id="1175" name="Shape 1175"/>
                        <wps:cNvSpPr/>
                        <wps:spPr>
                          <a:xfrm>
                            <a:off x="4310609" y="534289"/>
                            <a:ext cx="1496822" cy="178181"/>
                          </a:xfrm>
                          <a:custGeom>
                            <a:avLst/>
                            <a:gdLst/>
                            <a:ahLst/>
                            <a:cxnLst/>
                            <a:rect l="0" t="0" r="0" b="0"/>
                            <a:pathLst>
                              <a:path w="1496822" h="178181">
                                <a:moveTo>
                                  <a:pt x="0" y="0"/>
                                </a:moveTo>
                                <a:lnTo>
                                  <a:pt x="1452245" y="0"/>
                                </a:lnTo>
                                <a:lnTo>
                                  <a:pt x="1496822" y="89027"/>
                                </a:lnTo>
                                <a:lnTo>
                                  <a:pt x="1452245" y="178181"/>
                                </a:lnTo>
                                <a:lnTo>
                                  <a:pt x="0" y="178181"/>
                                </a:lnTo>
                                <a:lnTo>
                                  <a:pt x="44577" y="89027"/>
                                </a:lnTo>
                                <a:close/>
                              </a:path>
                            </a:pathLst>
                          </a:custGeom>
                          <a:ln w="25400" cap="flat">
                            <a:miter lim="101600"/>
                          </a:ln>
                        </wps:spPr>
                        <wps:style>
                          <a:lnRef idx="1">
                            <a:srgbClr val="4BACC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81" style="width:457.278pt;height:56.1pt;position:absolute;z-index:-2147483504;mso-position-horizontal-relative:text;mso-position-horizontal:absolute;margin-left:0.511993pt;mso-position-vertical-relative:text;margin-top:-43.5517pt;" coordsize="58074,7124">
                <v:shape id="Shape 1143" style="position:absolute;width:1197;height:5342;left:0;top:0;" coordsize="119748,534289" path="m119748,0l119748,1143l1194,1143l1194,534289l0,534289l0,0x">
                  <v:stroke weight="2pt" endcap="flat" joinstyle="round" on="true" color="#c0504d"/>
                  <v:fill on="false" color="#000000" opacity="0"/>
                </v:shape>
                <v:shape id="Shape 1144" style="position:absolute;width:14967;height:1781;left:0;top:5342;" coordsize="1496797,178181" path="m0,0l1452220,0l1496797,89027l1452220,178181l0,178181l0,0x">
                  <v:stroke weight="0pt" endcap="flat" joinstyle="miter" miterlimit="10" on="false" color="#000000" opacity="0"/>
                  <v:fill on="true" color="#c0504d"/>
                </v:shape>
                <v:shape id="Shape 1145" style="position:absolute;width:14967;height:1781;left:0;top:5342;" coordsize="1496797,178181" path="m0,0l1452220,0l1496797,89027l1452220,178181l0,178181x">
                  <v:stroke weight="2pt" endcap="flat" joinstyle="round" on="true" color="#c0504d"/>
                  <v:fill on="false" color="#000000" opacity="0"/>
                </v:shape>
                <v:shape id="Shape 1151" style="position:absolute;width:1197;height:5342;left:14368;top:0;" coordsize="119761,534289" path="m0,0l119761,0l119761,1143l1270,1143l1270,534289l0,534289l0,0x">
                  <v:stroke weight="0pt" endcap="flat" joinstyle="round" on="false" color="#000000" opacity="0"/>
                  <v:fill on="true" color="#ffffff"/>
                </v:shape>
                <v:shape id="Shape 1153" style="position:absolute;width:1197;height:5342;left:14368;top:0;" coordsize="119761,534289" path="m119761,0l119761,1143l1270,1143l1270,534289l0,534289l0,0x">
                  <v:stroke weight="2pt" endcap="flat" joinstyle="round" on="true" color="#9bbb59"/>
                  <v:fill on="false" color="#000000" opacity="0"/>
                </v:shape>
                <v:shape id="Shape 1154" style="position:absolute;width:14968;height:1781;left:14368;top:5342;" coordsize="1496822,178181" path="m0,0l1452245,0l1496822,89027l1452245,178181l0,178181l44577,89027l0,0x">
                  <v:stroke weight="0pt" endcap="flat" joinstyle="round" on="false" color="#000000" opacity="0"/>
                  <v:fill on="true" color="#9bbb59"/>
                </v:shape>
                <v:shape id="Shape 1155" style="position:absolute;width:14968;height:1781;left:14368;top:5342;" coordsize="1496822,178181" path="m0,0l1452245,0l1496822,89027l1452245,178181l0,178181l44577,89027x">
                  <v:stroke weight="2pt" endcap="flat" joinstyle="miter" miterlimit="8" on="true" color="#9bbb59"/>
                  <v:fill on="false" color="#000000" opacity="0"/>
                </v:shape>
                <v:shape id="Shape 1160" style="position:absolute;width:1197;height:5342;left:28737;top:0;" coordsize="119761,534289" path="m0,0l119761,0l119761,1143l1270,1143l1270,534289l0,534289l0,0x">
                  <v:stroke weight="0pt" endcap="flat" joinstyle="miter" miterlimit="8" on="false" color="#000000" opacity="0"/>
                  <v:fill on="true" color="#ffffff"/>
                </v:shape>
                <v:shape id="Shape 1162" style="position:absolute;width:1197;height:5342;left:28737;top:0;" coordsize="119761,534289" path="m119761,0l119761,1143l1270,1143l1270,534289l0,534289l0,0x">
                  <v:stroke weight="2pt" endcap="flat" joinstyle="round" on="true" color="#8064a2"/>
                  <v:fill on="false" color="#000000" opacity="0"/>
                </v:shape>
                <v:shape id="Shape 1163" style="position:absolute;width:14968;height:1781;left:28737;top:5342;" coordsize="1496822,178181" path="m0,0l1452245,0l1496822,89027l1452245,178181l0,178181l44577,89027l0,0x">
                  <v:stroke weight="0pt" endcap="flat" joinstyle="miter" miterlimit="8" on="false" color="#000000" opacity="0"/>
                  <v:fill on="true" color="#8064a2"/>
                </v:shape>
                <v:shape id="Shape 1164" style="position:absolute;width:14968;height:1781;left:28737;top:5342;" coordsize="1496822,178181" path="m0,0l1452245,0l1496822,89027l1452245,178181l0,178181l44577,89027x">
                  <v:stroke weight="2pt" endcap="flat" joinstyle="miter" miterlimit="8" on="true" color="#8064a2"/>
                  <v:fill on="false" color="#000000" opacity="0"/>
                </v:shape>
                <v:shape id="Shape 1171" style="position:absolute;width:1197;height:5342;left:43106;top:0;" coordsize="119761,534289" path="m0,0l119761,0l119761,1143l1270,1143l1270,534289l0,534289l0,0x">
                  <v:stroke weight="0pt" endcap="flat" joinstyle="miter" miterlimit="8" on="false" color="#000000" opacity="0"/>
                  <v:fill on="true" color="#ffffff"/>
                </v:shape>
                <v:shape id="Shape 1173" style="position:absolute;width:1197;height:5342;left:43106;top:0;" coordsize="119761,534289" path="m119761,0l119761,1143l1270,1143l1270,534289l0,534289l0,0x">
                  <v:stroke weight="2pt" endcap="flat" joinstyle="round" on="true" color="#4bacc6"/>
                  <v:fill on="false" color="#000000" opacity="0"/>
                </v:shape>
                <v:shape id="Shape 1174" style="position:absolute;width:14968;height:1781;left:43106;top:5342;" coordsize="1496822,178181" path="m0,0l1452245,0l1496822,89027l1452245,178181l0,178181l44577,89027l0,0x">
                  <v:stroke weight="0pt" endcap="flat" joinstyle="miter" miterlimit="8" on="false" color="#000000" opacity="0"/>
                  <v:fill on="true" color="#4bacc6"/>
                </v:shape>
                <v:shape id="Shape 1175" style="position:absolute;width:14968;height:1781;left:43106;top:5342;" coordsize="1496822,178181" path="m0,0l1452245,0l1496822,89027l1452245,178181l0,178181l44577,89027x">
                  <v:stroke weight="2pt" endcap="flat" joinstyle="miter" miterlimit="8" on="true" color="#4bacc6"/>
                  <v:fill on="false" color="#000000" opacity="0"/>
                </v:shape>
              </v:group>
            </w:pict>
          </mc:Fallback>
        </mc:AlternateContent>
      </w:r>
      <w:r>
        <w:rPr>
          <w:rFonts w:ascii="Calibri" w:eastAsia="Calibri" w:hAnsi="Calibri" w:cs="Calibri"/>
          <w:sz w:val="22"/>
        </w:rPr>
        <w:tab/>
      </w:r>
      <w:r>
        <w:rPr>
          <w:rFonts w:ascii="Calibri" w:eastAsia="Calibri" w:hAnsi="Calibri" w:cs="Calibri"/>
          <w:sz w:val="26"/>
        </w:rPr>
        <w:t>Oct. 2023</w:t>
      </w:r>
      <w:r>
        <w:rPr>
          <w:rFonts w:ascii="Calibri" w:eastAsia="Calibri" w:hAnsi="Calibri" w:cs="Calibri"/>
          <w:sz w:val="26"/>
        </w:rPr>
        <w:tab/>
        <w:t>Dec. 2023</w:t>
      </w:r>
      <w:r>
        <w:rPr>
          <w:rFonts w:ascii="Calibri" w:eastAsia="Calibri" w:hAnsi="Calibri" w:cs="Calibri"/>
          <w:sz w:val="26"/>
        </w:rPr>
        <w:tab/>
      </w:r>
      <w:proofErr w:type="spellStart"/>
      <w:r>
        <w:rPr>
          <w:rFonts w:ascii="Calibri" w:eastAsia="Calibri" w:hAnsi="Calibri" w:cs="Calibri"/>
          <w:sz w:val="22"/>
        </w:rPr>
        <w:t>Association</w:t>
      </w:r>
      <w:r>
        <w:rPr>
          <w:rFonts w:ascii="Calibri" w:eastAsia="Calibri" w:hAnsi="Calibri" w:cs="Calibri"/>
          <w:sz w:val="26"/>
        </w:rPr>
        <w:t>Mar</w:t>
      </w:r>
      <w:proofErr w:type="spellEnd"/>
      <w:r>
        <w:rPr>
          <w:rFonts w:ascii="Calibri" w:eastAsia="Calibri" w:hAnsi="Calibri" w:cs="Calibri"/>
          <w:sz w:val="26"/>
        </w:rPr>
        <w:t>. 2024</w:t>
      </w:r>
      <w:r>
        <w:rPr>
          <w:rFonts w:ascii="Calibri" w:eastAsia="Calibri" w:hAnsi="Calibri" w:cs="Calibri"/>
          <w:sz w:val="26"/>
        </w:rPr>
        <w:tab/>
        <w:t>May–June 2024</w:t>
      </w:r>
    </w:p>
    <w:p w14:paraId="24D3424C" w14:textId="77777777" w:rsidR="000C110A" w:rsidRDefault="00752693">
      <w:pPr>
        <w:spacing w:after="153" w:line="259" w:lineRule="auto"/>
        <w:ind w:left="0" w:right="73" w:firstLine="0"/>
        <w:jc w:val="right"/>
      </w:pPr>
      <w:r>
        <w:t xml:space="preserve"> </w:t>
      </w:r>
    </w:p>
    <w:p w14:paraId="57A313DB" w14:textId="77777777" w:rsidR="000C110A" w:rsidRDefault="00752693">
      <w:pPr>
        <w:spacing w:after="105" w:line="259" w:lineRule="auto"/>
        <w:ind w:left="-5" w:right="0"/>
        <w:jc w:val="left"/>
      </w:pPr>
      <w:r>
        <w:rPr>
          <w:b/>
        </w:rPr>
        <w:t xml:space="preserve">Financial implications </w:t>
      </w:r>
    </w:p>
    <w:p w14:paraId="263DA5E2" w14:textId="77777777" w:rsidR="000C110A" w:rsidRDefault="00752693">
      <w:pPr>
        <w:numPr>
          <w:ilvl w:val="0"/>
          <w:numId w:val="11"/>
        </w:numPr>
        <w:ind w:right="44" w:hanging="430"/>
      </w:pPr>
      <w:r>
        <w:t xml:space="preserve">There are no financial implications for the Council arising from this report.  </w:t>
      </w:r>
    </w:p>
    <w:p w14:paraId="2611831B" w14:textId="77777777" w:rsidR="000C110A" w:rsidRDefault="00752693">
      <w:pPr>
        <w:spacing w:after="105" w:line="259" w:lineRule="auto"/>
        <w:ind w:left="-5" w:right="0"/>
        <w:jc w:val="left"/>
      </w:pPr>
      <w:r>
        <w:rPr>
          <w:b/>
        </w:rPr>
        <w:t xml:space="preserve">Legal issues </w:t>
      </w:r>
    </w:p>
    <w:p w14:paraId="08DF5889" w14:textId="77777777" w:rsidR="000C110A" w:rsidRDefault="00752693">
      <w:pPr>
        <w:numPr>
          <w:ilvl w:val="0"/>
          <w:numId w:val="11"/>
        </w:numPr>
        <w:spacing w:after="234"/>
        <w:ind w:right="44" w:hanging="430"/>
      </w:pPr>
      <w:r>
        <w:t xml:space="preserve">There are no legal implications for the Council arising from this report. </w:t>
      </w:r>
    </w:p>
    <w:p w14:paraId="7B543C4F" w14:textId="77777777" w:rsidR="000C110A" w:rsidRDefault="00752693">
      <w:pPr>
        <w:spacing w:after="105" w:line="259" w:lineRule="auto"/>
        <w:ind w:left="-5" w:right="0"/>
        <w:jc w:val="left"/>
      </w:pPr>
      <w:r>
        <w:rPr>
          <w:b/>
        </w:rPr>
        <w:lastRenderedPageBreak/>
        <w:t xml:space="preserve">Level of risk </w:t>
      </w:r>
    </w:p>
    <w:p w14:paraId="699A99E8" w14:textId="77777777" w:rsidR="000C110A" w:rsidRDefault="00752693">
      <w:pPr>
        <w:numPr>
          <w:ilvl w:val="0"/>
          <w:numId w:val="11"/>
        </w:numPr>
        <w:spacing w:after="224"/>
        <w:ind w:right="44" w:hanging="430"/>
      </w:pPr>
      <w:r>
        <w:t xml:space="preserve">There are no risk implications for the Council arising from this report. </w:t>
      </w:r>
    </w:p>
    <w:p w14:paraId="6B0F592E" w14:textId="77777777" w:rsidR="000C110A" w:rsidRDefault="00752693">
      <w:pPr>
        <w:pStyle w:val="Heading1"/>
        <w:ind w:left="-5"/>
      </w:pPr>
      <w:r>
        <w:t xml:space="preserve">Equalities impact  </w:t>
      </w:r>
    </w:p>
    <w:p w14:paraId="46DD3C3C" w14:textId="77777777" w:rsidR="000C110A" w:rsidRDefault="00752693">
      <w:pPr>
        <w:spacing w:after="100" w:line="252" w:lineRule="auto"/>
        <w:ind w:left="430" w:right="0" w:hanging="430"/>
        <w:jc w:val="left"/>
      </w:pPr>
      <w:r>
        <w:t xml:space="preserve">34. An Equalities Impact Assessment is not necessary for this report. Equalities Impact is intrinsically built into the Council’s policies and alongside the key strategies. The Council will continue to monitor equalities impact as programmes grow and develop. </w:t>
      </w:r>
    </w:p>
    <w:p w14:paraId="305CB3D2" w14:textId="77777777" w:rsidR="000C110A" w:rsidRDefault="00752693">
      <w:pPr>
        <w:pStyle w:val="Heading1"/>
        <w:ind w:left="-5"/>
      </w:pPr>
      <w:r>
        <w:t xml:space="preserve">Carbon and Environmental Considerations </w:t>
      </w:r>
      <w:r>
        <w:rPr>
          <w:b w:val="0"/>
        </w:rPr>
        <w:t xml:space="preserve"> </w:t>
      </w:r>
    </w:p>
    <w:p w14:paraId="6F6B59F3" w14:textId="77777777" w:rsidR="000C110A" w:rsidRDefault="00752693">
      <w:pPr>
        <w:ind w:left="415" w:right="44" w:hanging="430"/>
      </w:pPr>
      <w:r>
        <w:t xml:space="preserve">35. There are no carbon and environmental implications for the Council arising from this report.  </w:t>
      </w:r>
    </w:p>
    <w:p w14:paraId="0466B73E" w14:textId="77777777" w:rsidR="000C110A" w:rsidRDefault="00752693">
      <w:pPr>
        <w:spacing w:after="0" w:line="259" w:lineRule="auto"/>
        <w:ind w:left="0" w:right="0" w:firstLine="0"/>
        <w:jc w:val="left"/>
      </w:pPr>
      <w:r>
        <w:rPr>
          <w:b/>
        </w:rPr>
        <w:t xml:space="preserve"> </w:t>
      </w:r>
    </w:p>
    <w:tbl>
      <w:tblPr>
        <w:tblStyle w:val="TableGrid"/>
        <w:tblW w:w="8937" w:type="dxa"/>
        <w:tblInd w:w="120" w:type="dxa"/>
        <w:tblCellMar>
          <w:top w:w="3" w:type="dxa"/>
          <w:right w:w="115" w:type="dxa"/>
        </w:tblCellMar>
        <w:tblLook w:val="04A0" w:firstRow="1" w:lastRow="0" w:firstColumn="1" w:lastColumn="0" w:noHBand="0" w:noVBand="1"/>
      </w:tblPr>
      <w:tblGrid>
        <w:gridCol w:w="4083"/>
        <w:gridCol w:w="4854"/>
      </w:tblGrid>
      <w:tr w:rsidR="000C110A" w14:paraId="4BA40497" w14:textId="77777777">
        <w:trPr>
          <w:trHeight w:val="410"/>
        </w:trPr>
        <w:tc>
          <w:tcPr>
            <w:tcW w:w="4084" w:type="dxa"/>
            <w:tcBorders>
              <w:top w:val="single" w:sz="8" w:space="0" w:color="000000"/>
              <w:left w:val="single" w:sz="8" w:space="0" w:color="000000"/>
              <w:bottom w:val="single" w:sz="8" w:space="0" w:color="000000"/>
              <w:right w:val="nil"/>
            </w:tcBorders>
          </w:tcPr>
          <w:p w14:paraId="739071A7" w14:textId="77777777" w:rsidR="000C110A" w:rsidRDefault="00752693">
            <w:pPr>
              <w:spacing w:after="0" w:line="259" w:lineRule="auto"/>
              <w:ind w:left="110" w:right="0" w:firstLine="0"/>
              <w:jc w:val="left"/>
            </w:pPr>
            <w:r>
              <w:rPr>
                <w:b/>
              </w:rPr>
              <w:t xml:space="preserve">Report author </w:t>
            </w:r>
          </w:p>
        </w:tc>
        <w:tc>
          <w:tcPr>
            <w:tcW w:w="4854" w:type="dxa"/>
            <w:tcBorders>
              <w:top w:val="single" w:sz="8" w:space="0" w:color="000000"/>
              <w:left w:val="nil"/>
              <w:bottom w:val="single" w:sz="8" w:space="0" w:color="000000"/>
              <w:right w:val="single" w:sz="8" w:space="0" w:color="000000"/>
            </w:tcBorders>
          </w:tcPr>
          <w:p w14:paraId="07651359" w14:textId="77777777" w:rsidR="000C110A" w:rsidRDefault="00752693">
            <w:pPr>
              <w:spacing w:after="0" w:line="259" w:lineRule="auto"/>
              <w:ind w:left="0" w:right="0" w:firstLine="0"/>
              <w:jc w:val="left"/>
            </w:pPr>
            <w:r>
              <w:t xml:space="preserve">Lucy Cherry </w:t>
            </w:r>
          </w:p>
        </w:tc>
      </w:tr>
      <w:tr w:rsidR="000C110A" w14:paraId="79D25D3F" w14:textId="77777777">
        <w:trPr>
          <w:trHeight w:val="337"/>
        </w:trPr>
        <w:tc>
          <w:tcPr>
            <w:tcW w:w="4084" w:type="dxa"/>
            <w:tcBorders>
              <w:top w:val="single" w:sz="8" w:space="0" w:color="000000"/>
              <w:left w:val="single" w:sz="8" w:space="0" w:color="000000"/>
              <w:bottom w:val="nil"/>
              <w:right w:val="nil"/>
            </w:tcBorders>
          </w:tcPr>
          <w:p w14:paraId="6E50E4BA" w14:textId="77777777" w:rsidR="000C110A" w:rsidRDefault="00752693">
            <w:pPr>
              <w:spacing w:after="0" w:line="259" w:lineRule="auto"/>
              <w:ind w:left="110" w:right="0" w:firstLine="0"/>
              <w:jc w:val="left"/>
            </w:pPr>
            <w:r>
              <w:t xml:space="preserve">Job title </w:t>
            </w:r>
          </w:p>
        </w:tc>
        <w:tc>
          <w:tcPr>
            <w:tcW w:w="4854" w:type="dxa"/>
            <w:tcBorders>
              <w:top w:val="single" w:sz="8" w:space="0" w:color="000000"/>
              <w:left w:val="nil"/>
              <w:bottom w:val="nil"/>
              <w:right w:val="single" w:sz="8" w:space="0" w:color="000000"/>
            </w:tcBorders>
          </w:tcPr>
          <w:p w14:paraId="3063A58A" w14:textId="77777777" w:rsidR="000C110A" w:rsidRDefault="00752693">
            <w:pPr>
              <w:spacing w:after="0" w:line="259" w:lineRule="auto"/>
              <w:ind w:left="0" w:right="0" w:firstLine="0"/>
              <w:jc w:val="left"/>
            </w:pPr>
            <w:r>
              <w:t xml:space="preserve">Policy and partnerships Officer </w:t>
            </w:r>
          </w:p>
        </w:tc>
      </w:tr>
      <w:tr w:rsidR="000C110A" w14:paraId="42BB3571" w14:textId="77777777">
        <w:trPr>
          <w:trHeight w:val="395"/>
        </w:trPr>
        <w:tc>
          <w:tcPr>
            <w:tcW w:w="4084" w:type="dxa"/>
            <w:tcBorders>
              <w:top w:val="nil"/>
              <w:left w:val="single" w:sz="8" w:space="0" w:color="000000"/>
              <w:bottom w:val="nil"/>
              <w:right w:val="nil"/>
            </w:tcBorders>
          </w:tcPr>
          <w:p w14:paraId="165029FB" w14:textId="77777777" w:rsidR="000C110A" w:rsidRDefault="00752693">
            <w:pPr>
              <w:spacing w:after="0" w:line="259" w:lineRule="auto"/>
              <w:ind w:left="110" w:right="0" w:firstLine="0"/>
              <w:jc w:val="left"/>
            </w:pPr>
            <w:r>
              <w:t xml:space="preserve">Service area or department </w:t>
            </w:r>
          </w:p>
        </w:tc>
        <w:tc>
          <w:tcPr>
            <w:tcW w:w="4854" w:type="dxa"/>
            <w:tcBorders>
              <w:top w:val="nil"/>
              <w:left w:val="nil"/>
              <w:bottom w:val="nil"/>
              <w:right w:val="single" w:sz="8" w:space="0" w:color="000000"/>
            </w:tcBorders>
          </w:tcPr>
          <w:p w14:paraId="1C6751D6" w14:textId="77777777" w:rsidR="000C110A" w:rsidRDefault="00752693">
            <w:pPr>
              <w:spacing w:after="0" w:line="259" w:lineRule="auto"/>
              <w:ind w:left="0" w:right="0" w:firstLine="0"/>
              <w:jc w:val="left"/>
            </w:pPr>
            <w:r>
              <w:t xml:space="preserve">Corporate Strategy  </w:t>
            </w:r>
          </w:p>
        </w:tc>
      </w:tr>
      <w:tr w:rsidR="000C110A" w14:paraId="750A6F69" w14:textId="77777777">
        <w:trPr>
          <w:trHeight w:val="395"/>
        </w:trPr>
        <w:tc>
          <w:tcPr>
            <w:tcW w:w="4084" w:type="dxa"/>
            <w:tcBorders>
              <w:top w:val="nil"/>
              <w:left w:val="single" w:sz="8" w:space="0" w:color="000000"/>
              <w:bottom w:val="nil"/>
              <w:right w:val="nil"/>
            </w:tcBorders>
          </w:tcPr>
          <w:p w14:paraId="22FDFA75" w14:textId="77777777" w:rsidR="000C110A" w:rsidRDefault="00752693">
            <w:pPr>
              <w:spacing w:after="0" w:line="259" w:lineRule="auto"/>
              <w:ind w:left="110" w:right="0" w:firstLine="0"/>
              <w:jc w:val="left"/>
            </w:pPr>
            <w:r>
              <w:t xml:space="preserve">Telephone  </w:t>
            </w:r>
          </w:p>
        </w:tc>
        <w:tc>
          <w:tcPr>
            <w:tcW w:w="4854" w:type="dxa"/>
            <w:tcBorders>
              <w:top w:val="nil"/>
              <w:left w:val="nil"/>
              <w:bottom w:val="nil"/>
              <w:right w:val="single" w:sz="8" w:space="0" w:color="000000"/>
            </w:tcBorders>
          </w:tcPr>
          <w:p w14:paraId="047E1C25" w14:textId="77777777" w:rsidR="000C110A" w:rsidRDefault="00752693">
            <w:pPr>
              <w:spacing w:after="0" w:line="259" w:lineRule="auto"/>
              <w:ind w:left="0" w:right="0" w:firstLine="0"/>
              <w:jc w:val="left"/>
            </w:pPr>
            <w:r>
              <w:t xml:space="preserve">01865 252707 </w:t>
            </w:r>
          </w:p>
        </w:tc>
      </w:tr>
      <w:tr w:rsidR="000C110A" w14:paraId="2C827619" w14:textId="77777777">
        <w:trPr>
          <w:trHeight w:val="484"/>
        </w:trPr>
        <w:tc>
          <w:tcPr>
            <w:tcW w:w="4084" w:type="dxa"/>
            <w:tcBorders>
              <w:top w:val="nil"/>
              <w:left w:val="single" w:sz="8" w:space="0" w:color="000000"/>
              <w:bottom w:val="single" w:sz="8" w:space="0" w:color="000000"/>
              <w:right w:val="nil"/>
            </w:tcBorders>
          </w:tcPr>
          <w:p w14:paraId="2C610349" w14:textId="77777777" w:rsidR="000C110A" w:rsidRDefault="00752693">
            <w:pPr>
              <w:spacing w:after="0" w:line="259" w:lineRule="auto"/>
              <w:ind w:left="110" w:right="0" w:firstLine="0"/>
              <w:jc w:val="left"/>
            </w:pPr>
            <w:r>
              <w:t xml:space="preserve">e-mail  </w:t>
            </w:r>
          </w:p>
        </w:tc>
        <w:tc>
          <w:tcPr>
            <w:tcW w:w="4854" w:type="dxa"/>
            <w:tcBorders>
              <w:top w:val="nil"/>
              <w:left w:val="nil"/>
              <w:bottom w:val="single" w:sz="8" w:space="0" w:color="000000"/>
              <w:right w:val="single" w:sz="8" w:space="0" w:color="000000"/>
            </w:tcBorders>
          </w:tcPr>
          <w:p w14:paraId="20C7CFFA" w14:textId="77777777" w:rsidR="000C110A" w:rsidRDefault="00752693">
            <w:pPr>
              <w:spacing w:after="0" w:line="259" w:lineRule="auto"/>
              <w:ind w:left="0" w:right="0" w:firstLine="0"/>
              <w:jc w:val="left"/>
            </w:pPr>
            <w:r>
              <w:rPr>
                <w:color w:val="0000FF"/>
                <w:u w:val="single" w:color="0000FF"/>
              </w:rPr>
              <w:t>lcherry@oxford.gov.uk</w:t>
            </w:r>
            <w:r>
              <w:t xml:space="preserve"> </w:t>
            </w:r>
          </w:p>
        </w:tc>
      </w:tr>
    </w:tbl>
    <w:p w14:paraId="23F9737A" w14:textId="77777777" w:rsidR="000C110A" w:rsidRDefault="00752693">
      <w:pPr>
        <w:spacing w:after="0" w:line="259" w:lineRule="auto"/>
        <w:ind w:left="0" w:right="0" w:firstLine="0"/>
        <w:jc w:val="left"/>
      </w:pPr>
      <w:r>
        <w:t xml:space="preserve"> </w:t>
      </w:r>
    </w:p>
    <w:tbl>
      <w:tblPr>
        <w:tblStyle w:val="TableGrid"/>
        <w:tblW w:w="8937" w:type="dxa"/>
        <w:tblInd w:w="105" w:type="dxa"/>
        <w:tblCellMar>
          <w:left w:w="105" w:type="dxa"/>
          <w:right w:w="88" w:type="dxa"/>
        </w:tblCellMar>
        <w:tblLook w:val="04A0" w:firstRow="1" w:lastRow="0" w:firstColumn="1" w:lastColumn="0" w:noHBand="0" w:noVBand="1"/>
      </w:tblPr>
      <w:tblGrid>
        <w:gridCol w:w="8937"/>
      </w:tblGrid>
      <w:tr w:rsidR="000C110A" w14:paraId="46EC2133" w14:textId="77777777">
        <w:trPr>
          <w:trHeight w:val="410"/>
        </w:trPr>
        <w:tc>
          <w:tcPr>
            <w:tcW w:w="8937" w:type="dxa"/>
            <w:tcBorders>
              <w:top w:val="single" w:sz="4" w:space="0" w:color="000000"/>
              <w:left w:val="single" w:sz="4" w:space="0" w:color="000000"/>
              <w:bottom w:val="single" w:sz="4" w:space="0" w:color="000000"/>
              <w:right w:val="single" w:sz="4" w:space="0" w:color="000000"/>
            </w:tcBorders>
          </w:tcPr>
          <w:p w14:paraId="33CFD35B" w14:textId="77777777" w:rsidR="000C110A" w:rsidRDefault="00752693">
            <w:pPr>
              <w:spacing w:after="0" w:line="259" w:lineRule="auto"/>
              <w:ind w:right="0" w:firstLine="0"/>
              <w:jc w:val="left"/>
            </w:pPr>
            <w:r>
              <w:rPr>
                <w:b/>
              </w:rPr>
              <w:t>Background Papers:</w:t>
            </w:r>
            <w:r>
              <w:t xml:space="preserve"> </w:t>
            </w:r>
          </w:p>
        </w:tc>
      </w:tr>
      <w:tr w:rsidR="000C110A" w14:paraId="2070A666" w14:textId="77777777">
        <w:trPr>
          <w:trHeight w:val="681"/>
        </w:trPr>
        <w:tc>
          <w:tcPr>
            <w:tcW w:w="8937" w:type="dxa"/>
            <w:tcBorders>
              <w:top w:val="single" w:sz="4" w:space="0" w:color="000000"/>
              <w:left w:val="single" w:sz="4" w:space="0" w:color="000000"/>
              <w:bottom w:val="single" w:sz="4" w:space="0" w:color="000000"/>
              <w:right w:val="single" w:sz="4" w:space="0" w:color="000000"/>
            </w:tcBorders>
          </w:tcPr>
          <w:p w14:paraId="6BC284E1" w14:textId="77777777" w:rsidR="000C110A" w:rsidRDefault="00752693">
            <w:pPr>
              <w:spacing w:after="0" w:line="259" w:lineRule="auto"/>
              <w:ind w:left="360" w:right="0" w:hanging="360"/>
              <w:jc w:val="left"/>
            </w:pPr>
            <w:r>
              <w:t>1. Oxford City Council - Corporate Peer Challenge Position Statement, July 2023 (Confidential)</w:t>
            </w:r>
            <w:r>
              <w:rPr>
                <w:b/>
              </w:rPr>
              <w:t xml:space="preserve"> </w:t>
            </w:r>
          </w:p>
        </w:tc>
      </w:tr>
    </w:tbl>
    <w:p w14:paraId="1CAC57DF" w14:textId="77777777" w:rsidR="000C110A" w:rsidRDefault="00752693">
      <w:pPr>
        <w:spacing w:after="0" w:line="259" w:lineRule="auto"/>
        <w:ind w:left="0" w:right="315" w:firstLine="0"/>
        <w:jc w:val="left"/>
      </w:pPr>
      <w:r>
        <w:rPr>
          <w:b/>
        </w:rPr>
        <w:t xml:space="preserve"> </w:t>
      </w:r>
    </w:p>
    <w:sectPr w:rsidR="000C110A">
      <w:pgSz w:w="11910" w:h="16840"/>
      <w:pgMar w:top="1134" w:right="1252" w:bottom="803" w:left="1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FF1"/>
    <w:multiLevelType w:val="hybridMultilevel"/>
    <w:tmpl w:val="1B0857A2"/>
    <w:lvl w:ilvl="0" w:tplc="4B34839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C414C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B43230">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D66DF6">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A628E8">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E08F06">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7AB66C">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6AB04">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B83196">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674809"/>
    <w:multiLevelType w:val="hybridMultilevel"/>
    <w:tmpl w:val="7A3E2466"/>
    <w:lvl w:ilvl="0" w:tplc="C0760300">
      <w:start w:val="31"/>
      <w:numFmt w:val="decimal"/>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80FB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5417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627E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A846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DA33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C6EF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A238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CEA2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5369DD"/>
    <w:multiLevelType w:val="hybridMultilevel"/>
    <w:tmpl w:val="3490E148"/>
    <w:lvl w:ilvl="0" w:tplc="4AC00BD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F8106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327D2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4C0D5E">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067BD8">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841408">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CC6546">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90816A">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ACB624">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EE6ADA"/>
    <w:multiLevelType w:val="hybridMultilevel"/>
    <w:tmpl w:val="E79E46E6"/>
    <w:lvl w:ilvl="0" w:tplc="5D3E75A6">
      <w:start w:val="1"/>
      <w:numFmt w:val="decimal"/>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FE32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4E64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943E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CAF1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C65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EC87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84C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7EC1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FB1AA0"/>
    <w:multiLevelType w:val="hybridMultilevel"/>
    <w:tmpl w:val="535C8478"/>
    <w:lvl w:ilvl="0" w:tplc="881AF146">
      <w:start w:val="15"/>
      <w:numFmt w:val="decimal"/>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5A3F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4CD9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4806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A064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4285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1060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72BF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7C10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856B21"/>
    <w:multiLevelType w:val="hybridMultilevel"/>
    <w:tmpl w:val="1A74423A"/>
    <w:lvl w:ilvl="0" w:tplc="019C1284">
      <w:start w:val="2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2DF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28BF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7637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2EB9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10F2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14C1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B42D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CECD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040610"/>
    <w:multiLevelType w:val="hybridMultilevel"/>
    <w:tmpl w:val="8F62166E"/>
    <w:lvl w:ilvl="0" w:tplc="DA1A96AA">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CD02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6984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B28142">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2A4642">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96AF7A">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2E00A8">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ACC4A">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18E484">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4E5B47"/>
    <w:multiLevelType w:val="hybridMultilevel"/>
    <w:tmpl w:val="E6CCAC64"/>
    <w:lvl w:ilvl="0" w:tplc="014C207E">
      <w:start w:val="1"/>
      <w:numFmt w:val="lowerLetter"/>
      <w:lvlText w:val="%1)"/>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863B8A">
      <w:start w:val="1"/>
      <w:numFmt w:val="lowerLetter"/>
      <w:lvlText w:val="%2"/>
      <w:lvlJc w:val="left"/>
      <w:pPr>
        <w:ind w:left="1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D8A226">
      <w:start w:val="1"/>
      <w:numFmt w:val="lowerRoman"/>
      <w:lvlText w:val="%3"/>
      <w:lvlJc w:val="left"/>
      <w:pPr>
        <w:ind w:left="2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EE090">
      <w:start w:val="1"/>
      <w:numFmt w:val="decimal"/>
      <w:lvlText w:val="%4"/>
      <w:lvlJc w:val="left"/>
      <w:pPr>
        <w:ind w:left="2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EA0D6A">
      <w:start w:val="1"/>
      <w:numFmt w:val="lowerLetter"/>
      <w:lvlText w:val="%5"/>
      <w:lvlJc w:val="left"/>
      <w:pPr>
        <w:ind w:left="3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985250">
      <w:start w:val="1"/>
      <w:numFmt w:val="lowerRoman"/>
      <w:lvlText w:val="%6"/>
      <w:lvlJc w:val="left"/>
      <w:pPr>
        <w:ind w:left="4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6854B8">
      <w:start w:val="1"/>
      <w:numFmt w:val="decimal"/>
      <w:lvlText w:val="%7"/>
      <w:lvlJc w:val="left"/>
      <w:pPr>
        <w:ind w:left="5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764FC0">
      <w:start w:val="1"/>
      <w:numFmt w:val="lowerLetter"/>
      <w:lvlText w:val="%8"/>
      <w:lvlJc w:val="left"/>
      <w:pPr>
        <w:ind w:left="5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FE316C">
      <w:start w:val="1"/>
      <w:numFmt w:val="lowerRoman"/>
      <w:lvlText w:val="%9"/>
      <w:lvlJc w:val="left"/>
      <w:pPr>
        <w:ind w:left="6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4333A4"/>
    <w:multiLevelType w:val="hybridMultilevel"/>
    <w:tmpl w:val="C200EB5A"/>
    <w:lvl w:ilvl="0" w:tplc="9C2E343C">
      <w:start w:val="11"/>
      <w:numFmt w:val="decimal"/>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AAFDAE">
      <w:start w:val="1"/>
      <w:numFmt w:val="bullet"/>
      <w:lvlText w:val="•"/>
      <w:lvlJc w:val="left"/>
      <w:pPr>
        <w:ind w:left="1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8AE524">
      <w:start w:val="1"/>
      <w:numFmt w:val="bullet"/>
      <w:lvlText w:val="▪"/>
      <w:lvlJc w:val="left"/>
      <w:pPr>
        <w:ind w:left="1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DEC84C">
      <w:start w:val="1"/>
      <w:numFmt w:val="bullet"/>
      <w:lvlText w:val="•"/>
      <w:lvlJc w:val="left"/>
      <w:pPr>
        <w:ind w:left="2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2653E">
      <w:start w:val="1"/>
      <w:numFmt w:val="bullet"/>
      <w:lvlText w:val="o"/>
      <w:lvlJc w:val="left"/>
      <w:pPr>
        <w:ind w:left="3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7071F6">
      <w:start w:val="1"/>
      <w:numFmt w:val="bullet"/>
      <w:lvlText w:val="▪"/>
      <w:lvlJc w:val="left"/>
      <w:pPr>
        <w:ind w:left="4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032CC">
      <w:start w:val="1"/>
      <w:numFmt w:val="bullet"/>
      <w:lvlText w:val="•"/>
      <w:lvlJc w:val="left"/>
      <w:pPr>
        <w:ind w:left="4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1C6D72">
      <w:start w:val="1"/>
      <w:numFmt w:val="bullet"/>
      <w:lvlText w:val="o"/>
      <w:lvlJc w:val="left"/>
      <w:pPr>
        <w:ind w:left="5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F696DA">
      <w:start w:val="1"/>
      <w:numFmt w:val="bullet"/>
      <w:lvlText w:val="▪"/>
      <w:lvlJc w:val="left"/>
      <w:pPr>
        <w:ind w:left="6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4F1DB8"/>
    <w:multiLevelType w:val="hybridMultilevel"/>
    <w:tmpl w:val="8F22ABD0"/>
    <w:lvl w:ilvl="0" w:tplc="B43AB4DA">
      <w:start w:val="7"/>
      <w:numFmt w:val="decimal"/>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F460D4">
      <w:start w:val="1"/>
      <w:numFmt w:val="bullet"/>
      <w:lvlText w:val="•"/>
      <w:lvlJc w:val="left"/>
      <w:pPr>
        <w:ind w:left="1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ECA59C">
      <w:start w:val="1"/>
      <w:numFmt w:val="bullet"/>
      <w:lvlText w:val="▪"/>
      <w:lvlJc w:val="left"/>
      <w:pPr>
        <w:ind w:left="1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2453C">
      <w:start w:val="1"/>
      <w:numFmt w:val="bullet"/>
      <w:lvlText w:val="•"/>
      <w:lvlJc w:val="left"/>
      <w:pPr>
        <w:ind w:left="2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2862E">
      <w:start w:val="1"/>
      <w:numFmt w:val="bullet"/>
      <w:lvlText w:val="o"/>
      <w:lvlJc w:val="left"/>
      <w:pPr>
        <w:ind w:left="3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9059D6">
      <w:start w:val="1"/>
      <w:numFmt w:val="bullet"/>
      <w:lvlText w:val="▪"/>
      <w:lvlJc w:val="left"/>
      <w:pPr>
        <w:ind w:left="4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CE0E06">
      <w:start w:val="1"/>
      <w:numFmt w:val="bullet"/>
      <w:lvlText w:val="•"/>
      <w:lvlJc w:val="left"/>
      <w:pPr>
        <w:ind w:left="4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24A362">
      <w:start w:val="1"/>
      <w:numFmt w:val="bullet"/>
      <w:lvlText w:val="o"/>
      <w:lvlJc w:val="left"/>
      <w:pPr>
        <w:ind w:left="5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CCF722">
      <w:start w:val="1"/>
      <w:numFmt w:val="bullet"/>
      <w:lvlText w:val="▪"/>
      <w:lvlJc w:val="left"/>
      <w:pPr>
        <w:ind w:left="6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922B5B"/>
    <w:multiLevelType w:val="hybridMultilevel"/>
    <w:tmpl w:val="D91242FC"/>
    <w:lvl w:ilvl="0" w:tplc="12EC6A42">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4FAB6">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086A0E">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66568C">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6AAB08">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78BA8E">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700556">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88BE8">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3C03DE">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48686416">
    <w:abstractNumId w:val="3"/>
  </w:num>
  <w:num w:numId="2" w16cid:durableId="2001539033">
    <w:abstractNumId w:val="9"/>
  </w:num>
  <w:num w:numId="3" w16cid:durableId="1486819518">
    <w:abstractNumId w:val="8"/>
  </w:num>
  <w:num w:numId="4" w16cid:durableId="1159927136">
    <w:abstractNumId w:val="4"/>
  </w:num>
  <w:num w:numId="5" w16cid:durableId="918754971">
    <w:abstractNumId w:val="2"/>
  </w:num>
  <w:num w:numId="6" w16cid:durableId="2139759744">
    <w:abstractNumId w:val="7"/>
  </w:num>
  <w:num w:numId="7" w16cid:durableId="1534150165">
    <w:abstractNumId w:val="6"/>
  </w:num>
  <w:num w:numId="8" w16cid:durableId="1144814785">
    <w:abstractNumId w:val="0"/>
  </w:num>
  <w:num w:numId="9" w16cid:durableId="1619213412">
    <w:abstractNumId w:val="10"/>
  </w:num>
  <w:num w:numId="10" w16cid:durableId="1319261619">
    <w:abstractNumId w:val="5"/>
  </w:num>
  <w:num w:numId="11" w16cid:durableId="963778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0A"/>
    <w:rsid w:val="000C110A"/>
    <w:rsid w:val="00434F1B"/>
    <w:rsid w:val="005F6B73"/>
    <w:rsid w:val="00752693"/>
    <w:rsid w:val="00D13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3ECC"/>
  <w15:docId w15:val="{E2CB5875-5B28-444A-B35B-49065C02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47" w:lineRule="auto"/>
      <w:ind w:left="10" w:right="45"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05"/>
      <w:ind w:left="2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3"/>
      <w:ind w:left="10" w:hanging="10"/>
      <w:outlineLvl w:val="1"/>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irstpagetablebold">
    <w:name w:val="First page table: bold"/>
    <w:qFormat/>
    <w:rsid w:val="00434F1B"/>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2061</Words>
  <Characters>11753</Characters>
  <Application>Microsoft Office Word</Application>
  <DocSecurity>0</DocSecurity>
  <Lines>97</Lines>
  <Paragraphs>27</Paragraphs>
  <ScaleCrop>false</ScaleCrop>
  <Company>Oxford City Council</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subject/>
  <dc:creator>jmitchell</dc:creator>
  <cp:keywords>OxCityCouncil Report</cp:keywords>
  <cp:lastModifiedBy>LUND Emma</cp:lastModifiedBy>
  <cp:revision>5</cp:revision>
  <dcterms:created xsi:type="dcterms:W3CDTF">2023-09-25T08:34:00Z</dcterms:created>
  <dcterms:modified xsi:type="dcterms:W3CDTF">2023-09-29T09:37:00Z</dcterms:modified>
</cp:coreProperties>
</file>